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D5790B" w14:textId="77777777" w:rsidR="00393E4A" w:rsidRDefault="00393E4A" w:rsidP="00697CD2">
      <w:pPr>
        <w:spacing w:line="360" w:lineRule="auto"/>
        <w:jc w:val="center"/>
        <w:rPr>
          <w:rFonts w:ascii="Times New Roman" w:hAnsi="Times New Roman" w:cs="Times New Roman"/>
          <w:sz w:val="28"/>
          <w:szCs w:val="28"/>
          <w:lang w:val="ro-RO"/>
        </w:rPr>
      </w:pPr>
      <w:r>
        <w:rPr>
          <w:rFonts w:ascii="Times New Roman" w:hAnsi="Times New Roman" w:cs="Times New Roman"/>
          <w:b/>
          <w:bCs/>
          <w:sz w:val="28"/>
          <w:szCs w:val="28"/>
          <w:lang w:val="ro-RO"/>
        </w:rPr>
        <w:t xml:space="preserve">GHID DE </w:t>
      </w:r>
      <w:r w:rsidRPr="00697CD2">
        <w:rPr>
          <w:rFonts w:ascii="Times New Roman" w:hAnsi="Times New Roman" w:cs="Times New Roman"/>
          <w:b/>
          <w:bCs/>
          <w:sz w:val="28"/>
          <w:szCs w:val="28"/>
          <w:lang w:val="ro-RO"/>
        </w:rPr>
        <w:t>DIAGNOSTIC ȘI TRATAMENT ÎN VASCULITELE SISTEMICE</w:t>
      </w:r>
    </w:p>
    <w:p w14:paraId="4A9191AF" w14:textId="7D418284" w:rsidR="00393E4A" w:rsidRPr="007A6E1E" w:rsidRDefault="007A6E1E" w:rsidP="00697CD2">
      <w:pPr>
        <w:spacing w:line="360" w:lineRule="auto"/>
        <w:rPr>
          <w:rFonts w:ascii="Times New Roman" w:hAnsi="Times New Roman" w:cs="Times New Roman"/>
          <w:sz w:val="24"/>
          <w:szCs w:val="24"/>
          <w:lang w:val="ro-RO"/>
        </w:rPr>
      </w:pPr>
      <w:r w:rsidRPr="007A6E1E">
        <w:rPr>
          <w:rFonts w:ascii="Times New Roman" w:hAnsi="Times New Roman" w:cs="Times New Roman"/>
          <w:b/>
          <w:bCs/>
          <w:sz w:val="24"/>
          <w:szCs w:val="24"/>
          <w:lang w:val="ro-RO"/>
        </w:rPr>
        <w:t>Autor:</w:t>
      </w:r>
      <w:r w:rsidRPr="007A6E1E">
        <w:rPr>
          <w:rFonts w:ascii="Times New Roman" w:hAnsi="Times New Roman" w:cs="Times New Roman"/>
          <w:sz w:val="24"/>
          <w:szCs w:val="24"/>
          <w:lang w:val="ro-RO"/>
        </w:rPr>
        <w:t xml:space="preserve"> </w:t>
      </w:r>
      <w:r w:rsidR="008F522C" w:rsidRPr="007A6E1E">
        <w:rPr>
          <w:rFonts w:ascii="Times New Roman" w:hAnsi="Times New Roman" w:cs="Times New Roman"/>
          <w:sz w:val="24"/>
          <w:szCs w:val="24"/>
          <w:lang w:val="ro-RO"/>
        </w:rPr>
        <w:t xml:space="preserve">Conf. Dr. </w:t>
      </w:r>
      <w:r w:rsidR="00CB5C78" w:rsidRPr="007A6E1E">
        <w:rPr>
          <w:rFonts w:ascii="Times New Roman" w:hAnsi="Times New Roman" w:cs="Times New Roman"/>
          <w:sz w:val="24"/>
          <w:szCs w:val="24"/>
          <w:lang w:val="ro-RO"/>
        </w:rPr>
        <w:t>Dan</w:t>
      </w:r>
      <w:r w:rsidR="00697CD2" w:rsidRPr="007A6E1E">
        <w:rPr>
          <w:rFonts w:ascii="Times New Roman" w:hAnsi="Times New Roman" w:cs="Times New Roman"/>
          <w:sz w:val="24"/>
          <w:szCs w:val="24"/>
          <w:lang w:val="ro-RO"/>
        </w:rPr>
        <w:t>i</w:t>
      </w:r>
      <w:r w:rsidR="00CB5C78" w:rsidRPr="007A6E1E">
        <w:rPr>
          <w:rFonts w:ascii="Times New Roman" w:hAnsi="Times New Roman" w:cs="Times New Roman"/>
          <w:sz w:val="24"/>
          <w:szCs w:val="24"/>
          <w:lang w:val="ro-RO"/>
        </w:rPr>
        <w:t>ela Opriș-Belinski</w:t>
      </w:r>
    </w:p>
    <w:p w14:paraId="4D8EB5A0" w14:textId="49200A98" w:rsidR="00697CD2" w:rsidRPr="007A6E1E" w:rsidRDefault="00697CD2" w:rsidP="00697CD2">
      <w:pPr>
        <w:spacing w:line="360" w:lineRule="auto"/>
        <w:rPr>
          <w:rFonts w:ascii="Times New Roman" w:hAnsi="Times New Roman" w:cs="Times New Roman"/>
          <w:i/>
          <w:iCs/>
          <w:sz w:val="24"/>
          <w:szCs w:val="24"/>
          <w:lang w:val="ro-RO"/>
        </w:rPr>
      </w:pPr>
      <w:r w:rsidRPr="007A6E1E">
        <w:rPr>
          <w:rFonts w:ascii="Times New Roman" w:hAnsi="Times New Roman" w:cs="Times New Roman"/>
          <w:i/>
          <w:iCs/>
          <w:sz w:val="24"/>
          <w:szCs w:val="24"/>
          <w:lang w:val="ro-RO"/>
        </w:rPr>
        <w:t xml:space="preserve">Clinica Medicină Internă II, Spital Clinic Sfânta Maria, Departament 5, </w:t>
      </w:r>
      <w:r w:rsidR="00B20497" w:rsidRPr="007A6E1E">
        <w:rPr>
          <w:rFonts w:ascii="Times New Roman" w:hAnsi="Times New Roman" w:cs="Times New Roman"/>
          <w:i/>
          <w:iCs/>
          <w:sz w:val="24"/>
          <w:szCs w:val="24"/>
          <w:lang w:val="ro-RO"/>
        </w:rPr>
        <w:t>D</w:t>
      </w:r>
      <w:r w:rsidRPr="007A6E1E">
        <w:rPr>
          <w:rFonts w:ascii="Times New Roman" w:hAnsi="Times New Roman" w:cs="Times New Roman"/>
          <w:i/>
          <w:iCs/>
          <w:sz w:val="24"/>
          <w:szCs w:val="24"/>
          <w:lang w:val="ro-RO"/>
        </w:rPr>
        <w:t xml:space="preserve">isciplina </w:t>
      </w:r>
      <w:r w:rsidR="00B20497" w:rsidRPr="007A6E1E">
        <w:rPr>
          <w:rFonts w:ascii="Times New Roman" w:hAnsi="Times New Roman" w:cs="Times New Roman"/>
          <w:i/>
          <w:iCs/>
          <w:sz w:val="24"/>
          <w:szCs w:val="24"/>
          <w:lang w:val="ro-RO"/>
        </w:rPr>
        <w:t>M</w:t>
      </w:r>
      <w:r w:rsidRPr="007A6E1E">
        <w:rPr>
          <w:rFonts w:ascii="Times New Roman" w:hAnsi="Times New Roman" w:cs="Times New Roman"/>
          <w:i/>
          <w:iCs/>
          <w:sz w:val="24"/>
          <w:szCs w:val="24"/>
          <w:lang w:val="ro-RO"/>
        </w:rPr>
        <w:t xml:space="preserve">edicină </w:t>
      </w:r>
      <w:r w:rsidR="00B20497" w:rsidRPr="007A6E1E">
        <w:rPr>
          <w:rFonts w:ascii="Times New Roman" w:hAnsi="Times New Roman" w:cs="Times New Roman"/>
          <w:i/>
          <w:iCs/>
          <w:sz w:val="24"/>
          <w:szCs w:val="24"/>
          <w:lang w:val="ro-RO"/>
        </w:rPr>
        <w:t>I</w:t>
      </w:r>
      <w:r w:rsidRPr="007A6E1E">
        <w:rPr>
          <w:rFonts w:ascii="Times New Roman" w:hAnsi="Times New Roman" w:cs="Times New Roman"/>
          <w:i/>
          <w:iCs/>
          <w:sz w:val="24"/>
          <w:szCs w:val="24"/>
          <w:lang w:val="ro-RO"/>
        </w:rPr>
        <w:t xml:space="preserve">nternă și </w:t>
      </w:r>
      <w:r w:rsidR="00B20497" w:rsidRPr="007A6E1E">
        <w:rPr>
          <w:rFonts w:ascii="Times New Roman" w:hAnsi="Times New Roman" w:cs="Times New Roman"/>
          <w:i/>
          <w:iCs/>
          <w:sz w:val="24"/>
          <w:szCs w:val="24"/>
          <w:lang w:val="ro-RO"/>
        </w:rPr>
        <w:t>R</w:t>
      </w:r>
      <w:r w:rsidRPr="007A6E1E">
        <w:rPr>
          <w:rFonts w:ascii="Times New Roman" w:hAnsi="Times New Roman" w:cs="Times New Roman"/>
          <w:i/>
          <w:iCs/>
          <w:sz w:val="24"/>
          <w:szCs w:val="24"/>
          <w:lang w:val="ro-RO"/>
        </w:rPr>
        <w:t>eumatologie, UMF Carol Davila București</w:t>
      </w:r>
    </w:p>
    <w:p w14:paraId="135F95F7" w14:textId="77777777" w:rsidR="007A6E1E" w:rsidRDefault="007A6E1E" w:rsidP="007A6E1E">
      <w:pPr>
        <w:spacing w:line="360" w:lineRule="auto"/>
        <w:jc w:val="both"/>
        <w:rPr>
          <w:rFonts w:ascii="Times New Roman" w:hAnsi="Times New Roman" w:cs="Times New Roman"/>
          <w:b/>
          <w:bCs/>
          <w:sz w:val="24"/>
          <w:szCs w:val="24"/>
        </w:rPr>
      </w:pPr>
    </w:p>
    <w:p w14:paraId="55752242" w14:textId="1295AECC" w:rsidR="007A6E1E" w:rsidRPr="007A6E1E" w:rsidRDefault="007A6E1E" w:rsidP="007A6E1E">
      <w:pPr>
        <w:spacing w:line="360" w:lineRule="auto"/>
        <w:jc w:val="both"/>
        <w:rPr>
          <w:rFonts w:ascii="Times New Roman" w:eastAsia="Times New Roman" w:hAnsi="Times New Roman" w:cs="Times New Roman"/>
          <w:i/>
          <w:iCs/>
          <w:sz w:val="24"/>
          <w:szCs w:val="24"/>
          <w:lang w:val="ro-RO"/>
        </w:rPr>
      </w:pPr>
      <w:r w:rsidRPr="007A6E1E">
        <w:rPr>
          <w:rFonts w:ascii="Times New Roman" w:hAnsi="Times New Roman" w:cs="Times New Roman"/>
          <w:b/>
          <w:bCs/>
          <w:sz w:val="24"/>
          <w:szCs w:val="24"/>
        </w:rPr>
        <w:t xml:space="preserve">Avizat de Comisia de </w:t>
      </w:r>
      <w:r w:rsidRPr="007A6E1E">
        <w:rPr>
          <w:rFonts w:ascii="Times New Roman" w:hAnsi="Times New Roman" w:cs="Times New Roman"/>
          <w:b/>
          <w:bCs/>
          <w:color w:val="111111"/>
          <w:sz w:val="24"/>
          <w:szCs w:val="24"/>
          <w:lang w:val="ro-RO"/>
        </w:rPr>
        <w:t>Medicină Internă</w:t>
      </w:r>
      <w:r w:rsidRPr="007A6E1E">
        <w:rPr>
          <w:rFonts w:ascii="Times New Roman" w:hAnsi="Times New Roman" w:cs="Times New Roman"/>
          <w:b/>
          <w:bCs/>
          <w:sz w:val="24"/>
          <w:szCs w:val="24"/>
        </w:rPr>
        <w:t xml:space="preserve"> a CMR:</w:t>
      </w:r>
    </w:p>
    <w:p w14:paraId="09B02934"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Preṣedinte: Prof. Dr. Camelia Diaconu (Bucureṣti)</w:t>
      </w:r>
    </w:p>
    <w:p w14:paraId="46296098" w14:textId="77777777" w:rsidR="007A6E1E" w:rsidRPr="007A6E1E" w:rsidRDefault="007A6E1E" w:rsidP="007A6E1E">
      <w:pPr>
        <w:adjustRightInd w:val="0"/>
        <w:snapToGrid w:val="0"/>
        <w:rPr>
          <w:rFonts w:ascii="Times New Roman" w:hAnsi="Times New Roman" w:cs="Times New Roman"/>
          <w:color w:val="111111"/>
          <w:sz w:val="24"/>
          <w:szCs w:val="24"/>
          <w:lang w:val="ro-RO"/>
        </w:rPr>
      </w:pPr>
      <w:r w:rsidRPr="007A6E1E">
        <w:rPr>
          <w:rFonts w:ascii="Times New Roman" w:hAnsi="Times New Roman" w:cs="Times New Roman"/>
          <w:color w:val="111111"/>
          <w:sz w:val="24"/>
          <w:szCs w:val="24"/>
          <w:lang w:val="ro-RO"/>
        </w:rPr>
        <w:t xml:space="preserve">Vicepreṣedinṭi: </w:t>
      </w:r>
      <w:r w:rsidRPr="007A6E1E">
        <w:rPr>
          <w:rFonts w:ascii="Times New Roman" w:hAnsi="Times New Roman" w:cs="Times New Roman"/>
          <w:color w:val="111111"/>
          <w:sz w:val="24"/>
          <w:szCs w:val="24"/>
        </w:rPr>
        <w:t xml:space="preserve"> </w:t>
      </w:r>
      <w:r w:rsidRPr="007A6E1E">
        <w:rPr>
          <w:rFonts w:ascii="Times New Roman" w:hAnsi="Times New Roman" w:cs="Times New Roman"/>
          <w:color w:val="111111"/>
          <w:sz w:val="24"/>
          <w:szCs w:val="24"/>
          <w:lang w:val="ro-RO"/>
        </w:rPr>
        <w:t xml:space="preserve">Prof. Dr. Corina Pop (Bucureṣti) </w:t>
      </w:r>
    </w:p>
    <w:p w14:paraId="3C6B839B" w14:textId="77777777" w:rsidR="007A6E1E" w:rsidRPr="007A6E1E" w:rsidRDefault="007A6E1E" w:rsidP="007A6E1E">
      <w:pPr>
        <w:adjustRightInd w:val="0"/>
        <w:snapToGrid w:val="0"/>
        <w:ind w:firstLineChars="650" w:firstLine="1560"/>
        <w:rPr>
          <w:rFonts w:ascii="Times New Roman" w:hAnsi="Times New Roman" w:cs="Times New Roman"/>
          <w:color w:val="111111"/>
          <w:sz w:val="24"/>
          <w:szCs w:val="24"/>
          <w:lang w:val="ro-RO"/>
        </w:rPr>
      </w:pPr>
      <w:r w:rsidRPr="007A6E1E">
        <w:rPr>
          <w:rFonts w:ascii="Times New Roman" w:hAnsi="Times New Roman" w:cs="Times New Roman"/>
          <w:color w:val="111111"/>
          <w:sz w:val="24"/>
          <w:szCs w:val="24"/>
          <w:lang w:val="ro-RO"/>
        </w:rPr>
        <w:t>Prof. Dr. Olga Orăṣan (Cluj Napoca)</w:t>
      </w:r>
    </w:p>
    <w:p w14:paraId="03A4A9BA"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Membri:</w:t>
      </w:r>
    </w:p>
    <w:p w14:paraId="5F1004EF"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Conf. Dr. Alice Bălăceanu (Bucureṣti)</w:t>
      </w:r>
    </w:p>
    <w:p w14:paraId="049A1FCB"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Prof. Dr. Raluca Costache (Bucureṣti)</w:t>
      </w:r>
    </w:p>
    <w:p w14:paraId="27C24F7E"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Prof. Dr. Daniel Lighezan (Timiṣoara)</w:t>
      </w:r>
    </w:p>
    <w:p w14:paraId="647056B5"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Conf. Dr. Mihaela Mocan (Cluj Napoca)</w:t>
      </w:r>
    </w:p>
    <w:p w14:paraId="44BB57F6"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lang w:val="ro-RO"/>
        </w:rPr>
        <w:t>Prof. Dr. Anca Negovan (Târgu Mureṣ)</w:t>
      </w:r>
    </w:p>
    <w:p w14:paraId="0E191BFD" w14:textId="3578CB66" w:rsidR="007A6E1E" w:rsidRPr="007A6E1E" w:rsidRDefault="007A6E1E" w:rsidP="007A6E1E">
      <w:pPr>
        <w:adjustRightInd w:val="0"/>
        <w:snapToGrid w:val="0"/>
        <w:rPr>
          <w:rFonts w:ascii="Times New Roman" w:hAnsi="Times New Roman" w:cs="Times New Roman"/>
          <w:color w:val="111111"/>
          <w:sz w:val="24"/>
          <w:szCs w:val="24"/>
          <w:lang w:val="ro-RO"/>
        </w:rPr>
      </w:pPr>
      <w:r w:rsidRPr="007A6E1E">
        <w:rPr>
          <w:rFonts w:ascii="Times New Roman" w:hAnsi="Times New Roman" w:cs="Times New Roman"/>
          <w:color w:val="111111"/>
          <w:sz w:val="24"/>
          <w:szCs w:val="24"/>
          <w:lang w:val="ro-RO"/>
        </w:rPr>
        <w:t>Prof. Dr. Laura Carina Tribus (Bucureṣti)</w:t>
      </w:r>
    </w:p>
    <w:p w14:paraId="74536929" w14:textId="77777777" w:rsidR="007A6E1E" w:rsidRPr="007A6E1E" w:rsidRDefault="007A6E1E" w:rsidP="007A6E1E">
      <w:pPr>
        <w:adjustRightInd w:val="0"/>
        <w:snapToGrid w:val="0"/>
        <w:rPr>
          <w:rFonts w:ascii="Times New Roman" w:hAnsi="Times New Roman" w:cs="Times New Roman"/>
          <w:sz w:val="24"/>
          <w:szCs w:val="24"/>
        </w:rPr>
      </w:pPr>
      <w:r w:rsidRPr="007A6E1E">
        <w:rPr>
          <w:rFonts w:ascii="Times New Roman" w:hAnsi="Times New Roman" w:cs="Times New Roman"/>
          <w:color w:val="111111"/>
          <w:sz w:val="24"/>
          <w:szCs w:val="24"/>
        </w:rPr>
        <w:t>Secretar</w:t>
      </w:r>
      <w:r w:rsidRPr="007A6E1E">
        <w:rPr>
          <w:rFonts w:ascii="Times New Roman" w:hAnsi="Times New Roman" w:cs="Times New Roman"/>
          <w:color w:val="111111"/>
          <w:sz w:val="24"/>
          <w:szCs w:val="24"/>
          <w:lang w:val="ro-RO"/>
        </w:rPr>
        <w:t xml:space="preserve">: </w:t>
      </w:r>
      <w:r w:rsidRPr="007A6E1E">
        <w:rPr>
          <w:rFonts w:ascii="Times New Roman" w:hAnsi="Times New Roman" w:cs="Times New Roman"/>
          <w:color w:val="111111"/>
          <w:sz w:val="24"/>
          <w:szCs w:val="24"/>
        </w:rPr>
        <w:t>Sl. Dr. Andreea Gabriella Andronesi</w:t>
      </w:r>
      <w:r w:rsidRPr="007A6E1E">
        <w:rPr>
          <w:rFonts w:ascii="Times New Roman" w:hAnsi="Times New Roman" w:cs="Times New Roman"/>
          <w:color w:val="111111"/>
          <w:sz w:val="24"/>
          <w:szCs w:val="24"/>
          <w:lang w:val="ro-RO"/>
        </w:rPr>
        <w:t xml:space="preserve"> (Bucureṣti)</w:t>
      </w:r>
    </w:p>
    <w:p w14:paraId="048247F9" w14:textId="77777777" w:rsidR="007A6E1E" w:rsidRDefault="007A6E1E" w:rsidP="00697CD2">
      <w:pPr>
        <w:spacing w:line="360" w:lineRule="auto"/>
        <w:rPr>
          <w:rFonts w:ascii="Times New Roman" w:hAnsi="Times New Roman" w:cs="Times New Roman"/>
          <w:i/>
          <w:iCs/>
          <w:sz w:val="24"/>
          <w:szCs w:val="24"/>
          <w:lang w:val="ro-RO"/>
        </w:rPr>
      </w:pPr>
    </w:p>
    <w:p w14:paraId="1A3A9BBB" w14:textId="77777777" w:rsidR="007A6E1E" w:rsidRPr="008F522C" w:rsidRDefault="007A6E1E" w:rsidP="00697CD2">
      <w:pPr>
        <w:spacing w:line="360" w:lineRule="auto"/>
        <w:rPr>
          <w:rFonts w:ascii="Times New Roman" w:hAnsi="Times New Roman" w:cs="Times New Roman"/>
          <w:i/>
          <w:iCs/>
          <w:sz w:val="24"/>
          <w:szCs w:val="24"/>
          <w:lang w:val="ro-RO"/>
        </w:rPr>
      </w:pPr>
    </w:p>
    <w:p w14:paraId="76DA86CD" w14:textId="77777777" w:rsidR="00393E4A" w:rsidRDefault="00393E4A" w:rsidP="00393E4A">
      <w:pPr>
        <w:numPr>
          <w:ilvl w:val="0"/>
          <w:numId w:val="21"/>
        </w:numPr>
        <w:adjustRightInd w:val="0"/>
        <w:snapToGrid w:val="0"/>
        <w:spacing w:after="0" w:line="360" w:lineRule="auto"/>
        <w:jc w:val="both"/>
        <w:rPr>
          <w:rFonts w:ascii="Times New Roman" w:hAnsi="Times New Roman" w:cs="Times New Roman"/>
          <w:b/>
          <w:bCs/>
          <w:kern w:val="2"/>
          <w:sz w:val="24"/>
          <w:szCs w:val="24"/>
          <w:lang w:val="en-US"/>
          <w14:ligatures w14:val="standardContextual"/>
        </w:rPr>
      </w:pPr>
      <w:r w:rsidRPr="00393E4A">
        <w:rPr>
          <w:rFonts w:ascii="Times New Roman" w:hAnsi="Times New Roman" w:cs="Times New Roman"/>
          <w:b/>
          <w:bCs/>
          <w:kern w:val="2"/>
          <w:sz w:val="24"/>
          <w:szCs w:val="24"/>
          <w:lang w:val="en-US"/>
          <w14:ligatures w14:val="standardContextual"/>
        </w:rPr>
        <w:t>Abrevieri</w:t>
      </w:r>
    </w:p>
    <w:p w14:paraId="387251D8"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AGC – arterita cu celule gigante</w:t>
      </w:r>
    </w:p>
    <w:p w14:paraId="14BAB08D" w14:textId="77777777" w:rsidR="00A20EE7"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AT – arterita Takayasu</w:t>
      </w:r>
    </w:p>
    <w:p w14:paraId="5913C5F9" w14:textId="2C243ACE" w:rsidR="005D085E" w:rsidRDefault="005D085E"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CT – computer tomograf</w:t>
      </w:r>
      <w:r w:rsidR="008F522C">
        <w:rPr>
          <w:rFonts w:ascii="Times New Roman" w:hAnsi="Times New Roman" w:cs="Times New Roman"/>
          <w:kern w:val="2"/>
          <w:sz w:val="24"/>
          <w:szCs w:val="24"/>
          <w:lang w:val="en-US"/>
          <w14:ligatures w14:val="standardContextual"/>
        </w:rPr>
        <w:t>ie</w:t>
      </w:r>
    </w:p>
    <w:p w14:paraId="669EB680" w14:textId="77777777" w:rsidR="005D085E" w:rsidRDefault="005D085E"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IRM – imagistică prin rezonanță magnetică</w:t>
      </w:r>
    </w:p>
    <w:p w14:paraId="71CC2C8E" w14:textId="77777777" w:rsidR="005D085E" w:rsidRPr="005D085E" w:rsidRDefault="005D085E"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PET – tomografie cu emisie de pozitroni</w:t>
      </w:r>
    </w:p>
    <w:p w14:paraId="40D63E8B"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ro-RO"/>
          <w14:ligatures w14:val="standardContextual"/>
        </w:rPr>
      </w:pPr>
      <w:r>
        <w:rPr>
          <w:rFonts w:ascii="Times New Roman" w:hAnsi="Times New Roman" w:cs="Times New Roman"/>
          <w:kern w:val="2"/>
          <w:sz w:val="24"/>
          <w:szCs w:val="24"/>
          <w:lang w:val="en-US"/>
          <w14:ligatures w14:val="standardContextual"/>
        </w:rPr>
        <w:t>ANCA – anticorpi anti-citoplasmă neutrofilică</w:t>
      </w:r>
    </w:p>
    <w:p w14:paraId="762A372E"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GPA – granulomatoză cu poliangiită</w:t>
      </w:r>
    </w:p>
    <w:p w14:paraId="4C93D400"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PAM – poliangiită microscopică</w:t>
      </w:r>
    </w:p>
    <w:p w14:paraId="5E38DA3E"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lastRenderedPageBreak/>
        <w:t>GEPA – granulomatoză eozinofilică cu poliangiită</w:t>
      </w:r>
    </w:p>
    <w:p w14:paraId="461958FC"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EULAR – European Alliance of Associations for Rheumatology</w:t>
      </w:r>
    </w:p>
    <w:p w14:paraId="55779AEE" w14:textId="77777777" w:rsidR="00A20EE7" w:rsidRPr="005D085E" w:rsidRDefault="00A20EE7"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sidRPr="005D085E">
        <w:rPr>
          <w:rFonts w:ascii="Times New Roman" w:hAnsi="Times New Roman" w:cs="Times New Roman"/>
          <w:kern w:val="2"/>
          <w:sz w:val="24"/>
          <w:szCs w:val="24"/>
          <w:lang w:val="en-US"/>
          <w14:ligatures w14:val="standardContextual"/>
        </w:rPr>
        <w:t>TCZ – tocilizumab</w:t>
      </w:r>
    </w:p>
    <w:p w14:paraId="687F7F10" w14:textId="77777777" w:rsidR="005D085E" w:rsidRPr="005D085E" w:rsidRDefault="00C574F3" w:rsidP="00A20EE7">
      <w:pPr>
        <w:adjustRightInd w:val="0"/>
        <w:snapToGrid w:val="0"/>
        <w:spacing w:after="0" w:line="360" w:lineRule="auto"/>
        <w:ind w:left="720"/>
        <w:jc w:val="both"/>
        <w:rPr>
          <w:rFonts w:ascii="Times New Roman" w:eastAsia="Calibri" w:hAnsi="Times New Roman" w:cs="Times New Roman"/>
          <w:color w:val="231F20"/>
          <w:sz w:val="24"/>
          <w:szCs w:val="24"/>
          <w:lang w:val="ro-RO"/>
        </w:rPr>
      </w:pPr>
      <w:r w:rsidRPr="005D085E">
        <w:rPr>
          <w:rFonts w:ascii="Times New Roman" w:eastAsia="Calibri" w:hAnsi="Times New Roman" w:cs="Times New Roman"/>
          <w:color w:val="231F20"/>
          <w:sz w:val="24"/>
          <w:szCs w:val="24"/>
          <w:lang w:val="ro-RO"/>
        </w:rPr>
        <w:t>GC – glucocorticoizi</w:t>
      </w:r>
    </w:p>
    <w:p w14:paraId="7E3A8A83" w14:textId="77777777" w:rsidR="00C574F3" w:rsidRPr="005D085E" w:rsidRDefault="00C574F3" w:rsidP="00A20EE7">
      <w:pPr>
        <w:adjustRightInd w:val="0"/>
        <w:snapToGrid w:val="0"/>
        <w:spacing w:after="0" w:line="360" w:lineRule="auto"/>
        <w:ind w:left="720"/>
        <w:jc w:val="both"/>
        <w:rPr>
          <w:rFonts w:ascii="Times New Roman" w:hAnsi="Times New Roman" w:cs="Times New Roman"/>
          <w:kern w:val="2"/>
          <w:sz w:val="24"/>
          <w:szCs w:val="24"/>
          <w:lang w:val="en-US"/>
          <w14:ligatures w14:val="standardContextual"/>
        </w:rPr>
      </w:pPr>
      <w:r>
        <w:rPr>
          <w:rFonts w:ascii="Times New Roman" w:eastAsia="Calibri" w:hAnsi="Times New Roman" w:cs="Times New Roman"/>
          <w:color w:val="231F20"/>
          <w:sz w:val="24"/>
          <w:szCs w:val="24"/>
          <w:lang w:val="ro-RO"/>
        </w:rPr>
        <w:t>MTX – metotrexat</w:t>
      </w:r>
    </w:p>
    <w:p w14:paraId="26E0AD8A" w14:textId="77777777" w:rsidR="00CB344D" w:rsidRPr="00CB344D" w:rsidRDefault="00CB344D" w:rsidP="005340A3">
      <w:pPr>
        <w:spacing w:line="360" w:lineRule="auto"/>
        <w:jc w:val="both"/>
        <w:rPr>
          <w:rFonts w:ascii="Times New Roman" w:hAnsi="Times New Roman" w:cs="Times New Roman"/>
          <w:sz w:val="24"/>
          <w:szCs w:val="24"/>
          <w:lang w:val="ro-RO"/>
        </w:rPr>
      </w:pPr>
    </w:p>
    <w:p w14:paraId="146E5AFB" w14:textId="77777777" w:rsidR="0006605E" w:rsidRPr="0006605E" w:rsidRDefault="00CB344D" w:rsidP="0006605E">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Obiectivul acestui ghid este de a descrie traseul de îngrijire al pacienților cu vasculite sistemice. Prezentul ghid a fost elaborat pe baza principalelor recomandări și documente de consens publicate în ultimii ani, incluzând ghiduri europene și internaționale ale societăților de profil, documente de consens, opinii ale experților, precum și reglementările/protocoalele terapeutice naționale relevante. Au fost avute în vedere, în special recomandările europene și americane pentru vasculitele de vase mari și mici (2018 update of the EULAR recommendations for the management of large vessel vasculitis, EULAR recommendations for the management of ANCA-associated vasculitis: 2022 update, 2021 American College of Rheumatology/Vasculitis Foundation Guideline for the Management of Antineutrophil Cytoplasmic Antibody–Associated Vasculitis), precum și documentele/protocoalele terapeutice românești aplicabile, inclusiv Ghidul de tratament al vasculitelor primare sistemice și protocolul terapeutic național pentru vasculite ANCA pozitive — Protocol terapeutic corespunzător poziției nr. 31, cod (L01XC-L04AJ): VASCULITE ANCA POZITIVE – DCI RITUXIMABUM (original și biosimilar). Obiectivul ghidului este de a oferi un cadru practic pentru managementul acestor afecțiuni, integrând datele disponibile din literatură cu aspectele relevante pentru practica medicală curentă. </w:t>
      </w:r>
    </w:p>
    <w:p w14:paraId="68A50C79" w14:textId="77777777" w:rsidR="00393E4A" w:rsidRDefault="0006605E" w:rsidP="0006605E">
      <w:pPr>
        <w:spacing w:line="360" w:lineRule="auto"/>
        <w:ind w:firstLine="720"/>
        <w:jc w:val="both"/>
        <w:rPr>
          <w:rFonts w:ascii="Times New Roman" w:hAnsi="Times New Roman" w:cs="Times New Roman"/>
          <w:sz w:val="24"/>
          <w:szCs w:val="24"/>
          <w:lang w:val="ro-RO"/>
        </w:rPr>
      </w:pPr>
      <w:r w:rsidRPr="0006605E">
        <w:rPr>
          <w:rFonts w:ascii="Times New Roman" w:hAnsi="Times New Roman" w:cs="Times New Roman"/>
          <w:sz w:val="24"/>
          <w:szCs w:val="24"/>
          <w:lang w:val="ro-RO"/>
        </w:rPr>
        <w:t>Ghidul nu își propune să acopere exhaustiv toate scenariile clinice posibile și nu poate substitui evaluarea individualizată a pacientului. Comorbiditățile, severitatea afectării de organ, riscul terapeutic, riscul infecțios, particularitățile legate de vârstă și status reproductiv, protocoalele locale și resursele disponibile trebuie luate în considerare în aplicarea recomandărilor. Decizia finală aparține medicului curant, care își asumă responsabilitatea adaptării conduitei diagnostice, terapeutice și de monitorizare la particularitățile fiecărui caz.</w:t>
      </w:r>
    </w:p>
    <w:p w14:paraId="1EDC6E21" w14:textId="77777777" w:rsidR="00284BEF" w:rsidRPr="00ED01E3" w:rsidRDefault="005340A3" w:rsidP="00ED01E3">
      <w:pPr>
        <w:spacing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Vasculitele sistemice sunt boli ale căror manifestări clinice se datorează, în principal, inflamației de la nivelul peretelui vascular. Prezența infiltratului inflamator la nivel vascular reprezintă o caracteristică a acestui grup de boli, dar, datorită variabilității vaselor afectate și a </w:t>
      </w:r>
      <w:r>
        <w:rPr>
          <w:rFonts w:ascii="Times New Roman" w:hAnsi="Times New Roman" w:cs="Times New Roman"/>
          <w:sz w:val="24"/>
          <w:szCs w:val="24"/>
          <w:lang w:val="ro-RO"/>
        </w:rPr>
        <w:lastRenderedPageBreak/>
        <w:t xml:space="preserve">particularităților epidemiologice diferite, există o mare heterogenitate în ceea ce privește manifestările clinice. </w:t>
      </w:r>
    </w:p>
    <w:p w14:paraId="0979983F" w14:textId="77777777" w:rsidR="00ED01E3" w:rsidRPr="005D085E" w:rsidRDefault="00304E52" w:rsidP="005D085E">
      <w:pPr>
        <w:spacing w:after="200" w:line="360"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Evoluția acestui grup de boli poate fi destul de variabilă, de la forme ușoare eventual autolimitante, mai ales în anumite forme secundare, odată cu dispariția evenimentului declanșator (infecții, medicamente) până la forme foarte severe, frecvent cu potențial letal. Este motivul pentru care, atunci când suntem în fața unui pacient cu suspiciune de vasculită, este necesară o abordare rapidă și agresivă, atât în ceea ce privește modalitățile de diagnosticare cât și cele de tratament. Recomandările actuale sugerează ca pacienții cu vasculite sistemice să fie urmăriți în centre de expertiză, iar conduita terapeutică să fie stabilită prin colaborare multidisciplinară.</w:t>
      </w:r>
    </w:p>
    <w:p w14:paraId="18D25B77" w14:textId="77777777" w:rsidR="003B7529" w:rsidRPr="008F522C" w:rsidRDefault="003B7529" w:rsidP="00E01F95">
      <w:pPr>
        <w:spacing w:after="200" w:line="360" w:lineRule="auto"/>
        <w:ind w:firstLine="720"/>
        <w:jc w:val="both"/>
        <w:rPr>
          <w:rFonts w:ascii="Times New Roman" w:eastAsia="Calibri" w:hAnsi="Times New Roman" w:cs="Times New Roman"/>
          <w:i/>
          <w:iCs/>
          <w:sz w:val="24"/>
          <w:szCs w:val="24"/>
          <w:lang w:val="ro-RO"/>
        </w:rPr>
      </w:pPr>
      <w:r w:rsidRPr="008F522C">
        <w:rPr>
          <w:rFonts w:ascii="Times New Roman" w:eastAsia="Calibri" w:hAnsi="Times New Roman" w:cs="Times New Roman"/>
          <w:i/>
          <w:iCs/>
          <w:sz w:val="24"/>
          <w:szCs w:val="24"/>
          <w:lang w:val="ro-RO"/>
        </w:rPr>
        <w:t>Nomenclatura și clasificarea vasculitelor sistemice</w:t>
      </w:r>
      <w:r w:rsidR="00361EC0" w:rsidRPr="008F522C">
        <w:rPr>
          <w:rFonts w:ascii="Times New Roman" w:eastAsia="Calibri" w:hAnsi="Times New Roman" w:cs="Times New Roman"/>
          <w:i/>
          <w:iCs/>
          <w:sz w:val="24"/>
          <w:szCs w:val="24"/>
          <w:lang w:val="ro-RO"/>
        </w:rPr>
        <w:t xml:space="preserve"> </w:t>
      </w:r>
    </w:p>
    <w:p w14:paraId="590BAF02" w14:textId="7B6D23E3" w:rsidR="00255F04" w:rsidRDefault="00ED01E3" w:rsidP="00670608">
      <w:pPr>
        <w:spacing w:after="200" w:line="360"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 folosește clasificarea rezultată după Conferința de Consens de la Chapel Hill (Chapel Hill Consensus Conference - CHCC) din anul 2012 care împarte vasculitele după dimensiunea vasului afectat în vase mari (aorta și ramurile sale), vase medii (principalele artere viscerale și ramurile lor) și vase mici (artere intraparenchimatoase, arteriole, capilare, dar și venule postcapilare)</w:t>
      </w:r>
      <w:r w:rsidR="008F522C">
        <w:rPr>
          <w:rFonts w:ascii="Times New Roman" w:eastAsia="Calibri" w:hAnsi="Times New Roman" w:cs="Times New Roman"/>
          <w:sz w:val="24"/>
          <w:szCs w:val="24"/>
          <w:lang w:val="ro-RO"/>
        </w:rPr>
        <w:t xml:space="preserve"> (Tabelul 1)</w:t>
      </w:r>
      <w:r>
        <w:rPr>
          <w:rFonts w:ascii="Times New Roman" w:eastAsia="Calibri" w:hAnsi="Times New Roman" w:cs="Times New Roman"/>
          <w:sz w:val="24"/>
          <w:szCs w:val="24"/>
          <w:lang w:val="ro-RO"/>
        </w:rPr>
        <w:t xml:space="preserve">. </w:t>
      </w:r>
    </w:p>
    <w:p w14:paraId="3045C435" w14:textId="7C0493A6" w:rsidR="00962C97" w:rsidRPr="0034549F" w:rsidRDefault="008F522C" w:rsidP="0034549F">
      <w:pPr>
        <w:spacing w:after="200" w:line="240" w:lineRule="auto"/>
        <w:ind w:firstLine="720"/>
        <w:jc w:val="both"/>
        <w:rPr>
          <w:rFonts w:ascii="Times New Roman" w:eastAsia="Calibri" w:hAnsi="Times New Roman" w:cs="Times New Roman"/>
          <w:i/>
          <w:iCs/>
          <w:sz w:val="24"/>
          <w:szCs w:val="24"/>
          <w:lang w:val="ro-RO"/>
        </w:rPr>
      </w:pPr>
      <w:r w:rsidRPr="008F522C">
        <w:rPr>
          <w:rFonts w:ascii="Times New Roman" w:eastAsia="Calibri" w:hAnsi="Times New Roman" w:cs="Times New Roman"/>
          <w:b/>
          <w:bCs/>
          <w:sz w:val="24"/>
          <w:szCs w:val="24"/>
          <w:lang w:val="ro-RO"/>
        </w:rPr>
        <w:t>Tabelul 1.</w:t>
      </w:r>
      <w:r>
        <w:rPr>
          <w:rFonts w:ascii="Times New Roman" w:eastAsia="Calibri" w:hAnsi="Times New Roman" w:cs="Times New Roman"/>
          <w:sz w:val="24"/>
          <w:szCs w:val="24"/>
          <w:lang w:val="ro-RO"/>
        </w:rPr>
        <w:t xml:space="preserve"> </w:t>
      </w:r>
      <w:r w:rsidR="00151CE1">
        <w:rPr>
          <w:rFonts w:ascii="Times New Roman" w:eastAsia="Calibri" w:hAnsi="Times New Roman" w:cs="Times New Roman"/>
          <w:sz w:val="24"/>
          <w:szCs w:val="24"/>
          <w:lang w:val="ro-RO"/>
        </w:rPr>
        <w:t xml:space="preserve">Numele și definițiile vasculitelor conform CHCC2012 – </w:t>
      </w:r>
      <w:r w:rsidR="00151CE1" w:rsidRPr="005F6693">
        <w:rPr>
          <w:rFonts w:ascii="Times New Roman" w:eastAsia="Calibri" w:hAnsi="Times New Roman" w:cs="Times New Roman"/>
          <w:i/>
          <w:iCs/>
          <w:sz w:val="24"/>
          <w:szCs w:val="24"/>
          <w:lang w:val="ro-RO"/>
        </w:rPr>
        <w:t>adaptat după</w:t>
      </w:r>
      <w:r w:rsidR="00701AD1" w:rsidRPr="005F6693">
        <w:rPr>
          <w:rFonts w:ascii="Times New Roman" w:eastAsia="Calibri" w:hAnsi="Times New Roman" w:cs="Times New Roman"/>
          <w:i/>
          <w:iCs/>
          <w:sz w:val="24"/>
          <w:szCs w:val="24"/>
          <w:lang w:val="ro-RO"/>
        </w:rPr>
        <w:t xml:space="preserve"> Jennette JC</w:t>
      </w:r>
      <w:r w:rsidR="00281751">
        <w:rPr>
          <w:rFonts w:ascii="Times New Roman" w:eastAsia="Calibri" w:hAnsi="Times New Roman" w:cs="Times New Roman"/>
          <w:i/>
          <w:iCs/>
          <w:sz w:val="24"/>
          <w:szCs w:val="24"/>
          <w:lang w:val="ro-RO"/>
        </w:rPr>
        <w:t xml:space="preserve"> et al, </w:t>
      </w:r>
      <w:r w:rsidR="00701AD1" w:rsidRPr="005F6693">
        <w:rPr>
          <w:rFonts w:ascii="Times New Roman" w:eastAsia="Calibri" w:hAnsi="Times New Roman" w:cs="Times New Roman"/>
          <w:i/>
          <w:iCs/>
          <w:sz w:val="24"/>
          <w:szCs w:val="24"/>
          <w:lang w:val="ro-RO"/>
        </w:rPr>
        <w:t>Arthritis Rheum 201</w:t>
      </w:r>
      <w:r w:rsidR="002B7B06" w:rsidRPr="005F6693">
        <w:rPr>
          <w:rFonts w:ascii="Times New Roman" w:eastAsia="Calibri" w:hAnsi="Times New Roman" w:cs="Times New Roman"/>
          <w:i/>
          <w:iCs/>
          <w:sz w:val="24"/>
          <w:szCs w:val="24"/>
          <w:lang w:val="ro-RO"/>
        </w:rPr>
        <w:t>3</w:t>
      </w:r>
    </w:p>
    <w:tbl>
      <w:tblPr>
        <w:tblStyle w:val="TableGrid"/>
        <w:tblW w:w="8846" w:type="dxa"/>
        <w:tblLook w:val="04A0" w:firstRow="1" w:lastRow="0" w:firstColumn="1" w:lastColumn="0" w:noHBand="0" w:noVBand="1"/>
      </w:tblPr>
      <w:tblGrid>
        <w:gridCol w:w="8846"/>
      </w:tblGrid>
      <w:tr w:rsidR="00D963BC" w14:paraId="468BDD8B" w14:textId="77777777" w:rsidTr="00281751">
        <w:trPr>
          <w:trHeight w:val="1034"/>
        </w:trPr>
        <w:tc>
          <w:tcPr>
            <w:tcW w:w="8846" w:type="dxa"/>
          </w:tcPr>
          <w:p w14:paraId="7F84EEFB" w14:textId="77777777" w:rsidR="00D963BC" w:rsidRDefault="00D963BC" w:rsidP="000A35A1">
            <w:pPr>
              <w:spacing w:after="200" w:line="360" w:lineRule="auto"/>
              <w:jc w:val="center"/>
              <w:rPr>
                <w:rFonts w:ascii="Times New Roman" w:eastAsia="Calibri" w:hAnsi="Times New Roman" w:cs="Times New Roman"/>
                <w:b/>
                <w:bCs/>
                <w:sz w:val="24"/>
                <w:szCs w:val="24"/>
                <w:lang w:val="ro-RO"/>
              </w:rPr>
            </w:pPr>
            <w:r w:rsidRPr="00E453C5">
              <w:rPr>
                <w:rFonts w:ascii="Times New Roman" w:eastAsia="Calibri" w:hAnsi="Times New Roman" w:cs="Times New Roman"/>
                <w:b/>
                <w:bCs/>
                <w:sz w:val="24"/>
                <w:szCs w:val="24"/>
                <w:lang w:val="ro-RO"/>
              </w:rPr>
              <w:t>VASCULITE DE VAS MARE</w:t>
            </w:r>
          </w:p>
          <w:p w14:paraId="29D10933" w14:textId="77777777" w:rsidR="00E933EF" w:rsidRPr="00E933EF" w:rsidRDefault="00D963BC" w:rsidP="00700D48">
            <w:pPr>
              <w:pStyle w:val="ListParagraph"/>
              <w:numPr>
                <w:ilvl w:val="0"/>
                <w:numId w:val="19"/>
              </w:numPr>
              <w:spacing w:after="200" w:line="360" w:lineRule="auto"/>
              <w:jc w:val="both"/>
              <w:rPr>
                <w:rFonts w:ascii="Times New Roman" w:eastAsia="Calibri" w:hAnsi="Times New Roman" w:cs="Times New Roman"/>
                <w:b/>
                <w:bCs/>
                <w:sz w:val="24"/>
                <w:szCs w:val="24"/>
                <w:lang w:val="ro-RO"/>
              </w:rPr>
            </w:pPr>
            <w:bookmarkStart w:id="0" w:name="_Hlk133500500"/>
            <w:r w:rsidRPr="00123610">
              <w:rPr>
                <w:rFonts w:ascii="Times New Roman" w:eastAsia="Calibri" w:hAnsi="Times New Roman" w:cs="Times New Roman"/>
                <w:sz w:val="24"/>
                <w:szCs w:val="24"/>
                <w:lang w:val="ro-RO"/>
              </w:rPr>
              <w:t xml:space="preserve">afectează vasele mari (aorta și ramurile ei) mai frecvent decât alte vasculite. </w:t>
            </w:r>
          </w:p>
          <w:p w14:paraId="535AA04D" w14:textId="77777777" w:rsidR="00D963BC" w:rsidRPr="00FA7898" w:rsidRDefault="000A5F6A" w:rsidP="00700D48">
            <w:pPr>
              <w:pStyle w:val="ListParagraph"/>
              <w:numPr>
                <w:ilvl w:val="0"/>
                <w:numId w:val="19"/>
              </w:numPr>
              <w:spacing w:after="200" w:line="360" w:lineRule="auto"/>
              <w:jc w:val="both"/>
              <w:rPr>
                <w:rFonts w:ascii="Times New Roman" w:eastAsia="Calibri" w:hAnsi="Times New Roman" w:cs="Times New Roman"/>
                <w:b/>
                <w:bCs/>
                <w:sz w:val="24"/>
                <w:szCs w:val="24"/>
                <w:lang w:val="ro-RO"/>
              </w:rPr>
            </w:pPr>
            <w:r>
              <w:rPr>
                <w:rFonts w:ascii="Times New Roman" w:eastAsia="Calibri" w:hAnsi="Times New Roman" w:cs="Times New Roman"/>
                <w:sz w:val="24"/>
                <w:szCs w:val="24"/>
                <w:lang w:val="ro-RO"/>
              </w:rPr>
              <w:t>o</w:t>
            </w:r>
            <w:r w:rsidR="00D963BC" w:rsidRPr="00123610">
              <w:rPr>
                <w:rFonts w:ascii="Times New Roman" w:eastAsia="Calibri" w:hAnsi="Times New Roman" w:cs="Times New Roman"/>
                <w:sz w:val="24"/>
                <w:szCs w:val="24"/>
                <w:lang w:val="ro-RO"/>
              </w:rPr>
              <w:t>rice tip de vas poate fi interesat</w:t>
            </w:r>
            <w:r>
              <w:rPr>
                <w:rFonts w:ascii="Times New Roman" w:eastAsia="Calibri" w:hAnsi="Times New Roman" w:cs="Times New Roman"/>
                <w:sz w:val="24"/>
                <w:szCs w:val="24"/>
                <w:lang w:val="ro-RO"/>
              </w:rPr>
              <w:t>, interesează mai frecvent populația feminină</w:t>
            </w:r>
          </w:p>
          <w:bookmarkEnd w:id="0"/>
          <w:p w14:paraId="56C47B58" w14:textId="77777777" w:rsidR="00D963BC" w:rsidRDefault="00D963BC" w:rsidP="00897C43">
            <w:pPr>
              <w:pStyle w:val="ListParagraph"/>
              <w:numPr>
                <w:ilvl w:val="0"/>
                <w:numId w:val="13"/>
              </w:numPr>
              <w:spacing w:after="200" w:line="360" w:lineRule="auto"/>
              <w:jc w:val="both"/>
              <w:rPr>
                <w:rFonts w:ascii="Times New Roman" w:eastAsia="Calibri" w:hAnsi="Times New Roman" w:cs="Times New Roman"/>
                <w:sz w:val="24"/>
                <w:szCs w:val="24"/>
                <w:lang w:val="ro-RO"/>
              </w:rPr>
            </w:pPr>
            <w:r w:rsidRPr="00897C43">
              <w:rPr>
                <w:rFonts w:ascii="Times New Roman" w:eastAsia="Calibri" w:hAnsi="Times New Roman" w:cs="Times New Roman"/>
                <w:sz w:val="24"/>
                <w:szCs w:val="24"/>
                <w:lang w:val="ro-RO"/>
              </w:rPr>
              <w:t>A</w:t>
            </w:r>
            <w:r w:rsidR="000A5F6A">
              <w:rPr>
                <w:rFonts w:ascii="Times New Roman" w:eastAsia="Calibri" w:hAnsi="Times New Roman" w:cs="Times New Roman"/>
                <w:sz w:val="24"/>
                <w:szCs w:val="24"/>
                <w:lang w:val="ro-RO"/>
              </w:rPr>
              <w:t>rterita Takayasu</w:t>
            </w:r>
          </w:p>
          <w:p w14:paraId="4ABCC2D9" w14:textId="77777777" w:rsidR="00D963BC" w:rsidRPr="00897C43" w:rsidRDefault="00D963BC" w:rsidP="00897C43">
            <w:pPr>
              <w:pStyle w:val="ListParagraph"/>
              <w:numPr>
                <w:ilvl w:val="0"/>
                <w:numId w:val="13"/>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w:t>
            </w:r>
            <w:r w:rsidR="000A5F6A">
              <w:rPr>
                <w:rFonts w:ascii="Times New Roman" w:eastAsia="Calibri" w:hAnsi="Times New Roman" w:cs="Times New Roman"/>
                <w:sz w:val="24"/>
                <w:szCs w:val="24"/>
                <w:lang w:val="ro-RO"/>
              </w:rPr>
              <w:t xml:space="preserve">rterita </w:t>
            </w:r>
            <w:r w:rsidR="00B316E8">
              <w:rPr>
                <w:rFonts w:ascii="Times New Roman" w:eastAsia="Calibri" w:hAnsi="Times New Roman" w:cs="Times New Roman"/>
                <w:sz w:val="24"/>
                <w:szCs w:val="24"/>
                <w:lang w:val="ro-RO"/>
              </w:rPr>
              <w:t>g</w:t>
            </w:r>
            <w:r w:rsidR="00700D48">
              <w:rPr>
                <w:rFonts w:ascii="Times New Roman" w:eastAsia="Calibri" w:hAnsi="Times New Roman" w:cs="Times New Roman"/>
                <w:sz w:val="24"/>
                <w:szCs w:val="24"/>
                <w:lang w:val="ro-RO"/>
              </w:rPr>
              <w:t>iganto</w:t>
            </w:r>
            <w:r w:rsidR="00B316E8">
              <w:rPr>
                <w:rFonts w:ascii="Times New Roman" w:eastAsia="Calibri" w:hAnsi="Times New Roman" w:cs="Times New Roman"/>
                <w:sz w:val="24"/>
                <w:szCs w:val="24"/>
                <w:lang w:val="ro-RO"/>
              </w:rPr>
              <w:t>-</w:t>
            </w:r>
            <w:r w:rsidR="00700D48">
              <w:rPr>
                <w:rFonts w:ascii="Times New Roman" w:eastAsia="Calibri" w:hAnsi="Times New Roman" w:cs="Times New Roman"/>
                <w:sz w:val="24"/>
                <w:szCs w:val="24"/>
                <w:lang w:val="ro-RO"/>
              </w:rPr>
              <w:t>celulară</w:t>
            </w:r>
          </w:p>
        </w:tc>
      </w:tr>
      <w:tr w:rsidR="00D963BC" w14:paraId="0609A541" w14:textId="77777777" w:rsidTr="00281751">
        <w:trPr>
          <w:trHeight w:val="2517"/>
        </w:trPr>
        <w:tc>
          <w:tcPr>
            <w:tcW w:w="8846" w:type="dxa"/>
          </w:tcPr>
          <w:p w14:paraId="7EBEE7BF" w14:textId="77777777" w:rsidR="00D963BC" w:rsidRPr="00A4651D" w:rsidRDefault="00D963BC" w:rsidP="00A4651D">
            <w:pPr>
              <w:spacing w:after="200" w:line="360" w:lineRule="auto"/>
              <w:jc w:val="center"/>
              <w:rPr>
                <w:rFonts w:ascii="Times New Roman" w:eastAsia="Calibri" w:hAnsi="Times New Roman" w:cs="Times New Roman"/>
                <w:b/>
                <w:bCs/>
                <w:sz w:val="24"/>
                <w:szCs w:val="24"/>
                <w:lang w:val="ro-RO"/>
              </w:rPr>
            </w:pPr>
            <w:r w:rsidRPr="00A4651D">
              <w:rPr>
                <w:rFonts w:ascii="Times New Roman" w:eastAsia="Calibri" w:hAnsi="Times New Roman" w:cs="Times New Roman"/>
                <w:b/>
                <w:bCs/>
                <w:sz w:val="24"/>
                <w:szCs w:val="24"/>
                <w:lang w:val="ro-RO"/>
              </w:rPr>
              <w:t>VASCULITE DE VAS MEDIU</w:t>
            </w:r>
          </w:p>
          <w:p w14:paraId="7CCD8ACF" w14:textId="77777777" w:rsidR="00700D48" w:rsidRDefault="00D963BC" w:rsidP="00A4651D">
            <w:pPr>
              <w:pStyle w:val="ListParagraph"/>
              <w:numPr>
                <w:ilvl w:val="0"/>
                <w:numId w:val="15"/>
              </w:numPr>
              <w:spacing w:after="200" w:line="360" w:lineRule="auto"/>
              <w:jc w:val="both"/>
              <w:rPr>
                <w:rFonts w:ascii="Times New Roman" w:eastAsia="Calibri" w:hAnsi="Times New Roman" w:cs="Times New Roman"/>
                <w:sz w:val="24"/>
                <w:szCs w:val="24"/>
                <w:lang w:val="ro-RO"/>
              </w:rPr>
            </w:pPr>
            <w:bookmarkStart w:id="1" w:name="_Hlk135331513"/>
            <w:r w:rsidRPr="00A4651D">
              <w:rPr>
                <w:rFonts w:ascii="Times New Roman" w:eastAsia="Calibri" w:hAnsi="Times New Roman" w:cs="Times New Roman"/>
                <w:sz w:val="24"/>
                <w:szCs w:val="24"/>
                <w:lang w:val="ro-RO"/>
              </w:rPr>
              <w:t xml:space="preserve">afectează în principal arterele medii, viscerale și ramurile lor. </w:t>
            </w:r>
          </w:p>
          <w:p w14:paraId="74533449" w14:textId="77777777" w:rsidR="00D963BC" w:rsidRDefault="00700D48" w:rsidP="00A4651D">
            <w:pPr>
              <w:pStyle w:val="ListParagraph"/>
              <w:numPr>
                <w:ilvl w:val="0"/>
                <w:numId w:val="15"/>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w:t>
            </w:r>
            <w:r w:rsidR="00D963BC" w:rsidRPr="00A4651D">
              <w:rPr>
                <w:rFonts w:ascii="Times New Roman" w:eastAsia="Calibri" w:hAnsi="Times New Roman" w:cs="Times New Roman"/>
                <w:sz w:val="24"/>
                <w:szCs w:val="24"/>
                <w:lang w:val="ro-RO"/>
              </w:rPr>
              <w:t>rice tip de vas poate fi interesat</w:t>
            </w:r>
          </w:p>
          <w:bookmarkEnd w:id="1"/>
          <w:p w14:paraId="3709D5EC" w14:textId="77777777" w:rsidR="00D963BC" w:rsidRDefault="00D963BC" w:rsidP="00E933EF">
            <w:pPr>
              <w:pStyle w:val="ListParagraph"/>
              <w:numPr>
                <w:ilvl w:val="1"/>
                <w:numId w:val="14"/>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r w:rsidR="00B213D2">
              <w:rPr>
                <w:rFonts w:ascii="Times New Roman" w:eastAsia="Calibri" w:hAnsi="Times New Roman" w:cs="Times New Roman"/>
                <w:sz w:val="24"/>
                <w:szCs w:val="24"/>
                <w:lang w:val="ro-RO"/>
              </w:rPr>
              <w:t>anarterita nodoasă</w:t>
            </w:r>
          </w:p>
          <w:p w14:paraId="0F608CE3" w14:textId="77777777" w:rsidR="00D963BC" w:rsidRPr="00A4651D" w:rsidRDefault="00D963BC" w:rsidP="00E933EF">
            <w:pPr>
              <w:pStyle w:val="ListParagraph"/>
              <w:numPr>
                <w:ilvl w:val="1"/>
                <w:numId w:val="14"/>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w:t>
            </w:r>
            <w:r w:rsidR="00B213D2">
              <w:rPr>
                <w:rFonts w:ascii="Times New Roman" w:eastAsia="Calibri" w:hAnsi="Times New Roman" w:cs="Times New Roman"/>
                <w:sz w:val="24"/>
                <w:szCs w:val="24"/>
                <w:lang w:val="ro-RO"/>
              </w:rPr>
              <w:t>oala Kawasaki</w:t>
            </w:r>
          </w:p>
        </w:tc>
      </w:tr>
      <w:tr w:rsidR="00D963BC" w14:paraId="0C847E07" w14:textId="77777777" w:rsidTr="00281751">
        <w:trPr>
          <w:trHeight w:val="7037"/>
        </w:trPr>
        <w:tc>
          <w:tcPr>
            <w:tcW w:w="8846" w:type="dxa"/>
          </w:tcPr>
          <w:p w14:paraId="3B155859" w14:textId="77777777" w:rsidR="00D963BC" w:rsidRPr="00A4651D" w:rsidRDefault="00D963BC" w:rsidP="00A4651D">
            <w:pPr>
              <w:spacing w:after="200" w:line="360" w:lineRule="auto"/>
              <w:jc w:val="center"/>
              <w:rPr>
                <w:rFonts w:ascii="Times New Roman" w:eastAsia="Calibri" w:hAnsi="Times New Roman" w:cs="Times New Roman"/>
                <w:b/>
                <w:bCs/>
                <w:sz w:val="24"/>
                <w:szCs w:val="24"/>
                <w:lang w:val="ro-RO"/>
              </w:rPr>
            </w:pPr>
            <w:r w:rsidRPr="00A4651D">
              <w:rPr>
                <w:rFonts w:ascii="Times New Roman" w:eastAsia="Calibri" w:hAnsi="Times New Roman" w:cs="Times New Roman"/>
                <w:b/>
                <w:bCs/>
                <w:sz w:val="24"/>
                <w:szCs w:val="24"/>
                <w:lang w:val="ro-RO"/>
              </w:rPr>
              <w:lastRenderedPageBreak/>
              <w:t>VASCULITE DE VAS MIC</w:t>
            </w:r>
          </w:p>
          <w:p w14:paraId="3CEB2ED7" w14:textId="77777777" w:rsidR="00B213D2" w:rsidRDefault="00D963BC" w:rsidP="00A4651D">
            <w:pPr>
              <w:pStyle w:val="ListParagraph"/>
              <w:numPr>
                <w:ilvl w:val="0"/>
                <w:numId w:val="15"/>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afectează predominant vasele mici (artere mici intraparenhimatoase, arteriole, capilare, venule). </w:t>
            </w:r>
          </w:p>
          <w:p w14:paraId="2570C626" w14:textId="77777777" w:rsidR="00D963BC" w:rsidRDefault="00B213D2" w:rsidP="00A4651D">
            <w:pPr>
              <w:pStyle w:val="ListParagraph"/>
              <w:numPr>
                <w:ilvl w:val="0"/>
                <w:numId w:val="15"/>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w:t>
            </w:r>
            <w:r w:rsidR="00D963BC">
              <w:rPr>
                <w:rFonts w:ascii="Times New Roman" w:eastAsia="Calibri" w:hAnsi="Times New Roman" w:cs="Times New Roman"/>
                <w:sz w:val="24"/>
                <w:szCs w:val="24"/>
                <w:lang w:val="ro-RO"/>
              </w:rPr>
              <w:t xml:space="preserve">rterele medii pot fi afectate. </w:t>
            </w:r>
          </w:p>
          <w:p w14:paraId="726E63B0" w14:textId="77777777" w:rsidR="00D963BC" w:rsidRPr="00D963BC" w:rsidRDefault="00D963BC" w:rsidP="00A4651D">
            <w:pPr>
              <w:pStyle w:val="ListParagraph"/>
              <w:numPr>
                <w:ilvl w:val="0"/>
                <w:numId w:val="16"/>
              </w:numPr>
              <w:spacing w:after="200" w:line="360" w:lineRule="auto"/>
              <w:jc w:val="both"/>
              <w:rPr>
                <w:rFonts w:ascii="Times New Roman" w:eastAsia="Calibri" w:hAnsi="Times New Roman" w:cs="Times New Roman"/>
                <w:sz w:val="24"/>
                <w:szCs w:val="24"/>
                <w:lang w:val="ro-RO"/>
              </w:rPr>
            </w:pPr>
            <w:r w:rsidRPr="00D963BC">
              <w:rPr>
                <w:rFonts w:ascii="Times New Roman" w:eastAsia="Calibri" w:hAnsi="Times New Roman" w:cs="Times New Roman"/>
                <w:sz w:val="24"/>
                <w:szCs w:val="24"/>
                <w:lang w:val="ro-RO"/>
              </w:rPr>
              <w:t>VASCULITE PRIN COMPLEXE IMUNE</w:t>
            </w:r>
          </w:p>
          <w:p w14:paraId="0FF34682" w14:textId="77777777" w:rsidR="00D963BC" w:rsidRPr="00A4651D" w:rsidRDefault="00D963BC" w:rsidP="00A4651D">
            <w:pPr>
              <w:pStyle w:val="ListParagraph"/>
              <w:numPr>
                <w:ilvl w:val="0"/>
                <w:numId w:val="17"/>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Boala anti-membrană bazală glomerulară</w:t>
            </w:r>
          </w:p>
          <w:p w14:paraId="02E4AE8A" w14:textId="77777777" w:rsidR="00D963BC" w:rsidRPr="00A4651D" w:rsidRDefault="00D963BC" w:rsidP="00A4651D">
            <w:pPr>
              <w:pStyle w:val="ListParagraph"/>
              <w:numPr>
                <w:ilvl w:val="0"/>
                <w:numId w:val="17"/>
              </w:numPr>
              <w:spacing w:after="200" w:line="360" w:lineRule="auto"/>
              <w:jc w:val="both"/>
              <w:rPr>
                <w:rFonts w:ascii="Times New Roman" w:eastAsia="Calibri" w:hAnsi="Times New Roman" w:cs="Times New Roman"/>
                <w:sz w:val="24"/>
                <w:szCs w:val="24"/>
                <w:lang w:val="ro-RO"/>
              </w:rPr>
            </w:pPr>
            <w:r w:rsidRPr="00A4651D">
              <w:rPr>
                <w:rFonts w:ascii="Times New Roman" w:eastAsia="Calibri" w:hAnsi="Times New Roman" w:cs="Times New Roman"/>
                <w:sz w:val="24"/>
                <w:szCs w:val="24"/>
                <w:lang w:val="ro-RO"/>
              </w:rPr>
              <w:t>Vasculita crioglobulinemică</w:t>
            </w:r>
          </w:p>
          <w:p w14:paraId="1A089849" w14:textId="77777777" w:rsidR="009E3ADC" w:rsidRPr="009E3ADC" w:rsidRDefault="00D963BC" w:rsidP="00A4651D">
            <w:pPr>
              <w:pStyle w:val="ListParagraph"/>
              <w:numPr>
                <w:ilvl w:val="0"/>
                <w:numId w:val="17"/>
              </w:numPr>
              <w:spacing w:after="200" w:line="360" w:lineRule="auto"/>
              <w:jc w:val="both"/>
              <w:rPr>
                <w:rFonts w:ascii="Times New Roman" w:eastAsia="Calibri" w:hAnsi="Times New Roman" w:cs="Times New Roman"/>
                <w:b/>
                <w:bCs/>
                <w:sz w:val="24"/>
                <w:szCs w:val="24"/>
                <w:lang w:val="ro-RO"/>
              </w:rPr>
            </w:pPr>
            <w:r w:rsidRPr="009E3ADC">
              <w:rPr>
                <w:rFonts w:ascii="Times New Roman" w:eastAsia="Calibri" w:hAnsi="Times New Roman" w:cs="Times New Roman"/>
                <w:sz w:val="24"/>
                <w:szCs w:val="24"/>
                <w:lang w:val="ro-RO"/>
              </w:rPr>
              <w:t xml:space="preserve">Vasculita </w:t>
            </w:r>
            <w:r w:rsidR="003D5613" w:rsidRPr="009E3ADC">
              <w:rPr>
                <w:rFonts w:ascii="Times New Roman" w:eastAsia="Calibri" w:hAnsi="Times New Roman" w:cs="Times New Roman"/>
                <w:sz w:val="24"/>
                <w:szCs w:val="24"/>
                <w:lang w:val="ro-RO"/>
              </w:rPr>
              <w:t xml:space="preserve">prin depunere de </w:t>
            </w:r>
            <w:r w:rsidRPr="009E3ADC">
              <w:rPr>
                <w:rFonts w:ascii="Times New Roman" w:eastAsia="Calibri" w:hAnsi="Times New Roman" w:cs="Times New Roman"/>
                <w:sz w:val="24"/>
                <w:szCs w:val="24"/>
                <w:lang w:val="ro-RO"/>
              </w:rPr>
              <w:t>IgA</w:t>
            </w:r>
          </w:p>
          <w:p w14:paraId="56C6EC2E" w14:textId="77777777" w:rsidR="00D963BC" w:rsidRPr="009E3ADC" w:rsidRDefault="00D963BC" w:rsidP="00A4651D">
            <w:pPr>
              <w:pStyle w:val="ListParagraph"/>
              <w:numPr>
                <w:ilvl w:val="0"/>
                <w:numId w:val="17"/>
              </w:numPr>
              <w:spacing w:after="200" w:line="360" w:lineRule="auto"/>
              <w:jc w:val="both"/>
              <w:rPr>
                <w:rFonts w:ascii="Times New Roman" w:eastAsia="Calibri" w:hAnsi="Times New Roman" w:cs="Times New Roman"/>
                <w:b/>
                <w:bCs/>
                <w:sz w:val="24"/>
                <w:szCs w:val="24"/>
                <w:lang w:val="ro-RO"/>
              </w:rPr>
            </w:pPr>
            <w:r w:rsidRPr="009E3ADC">
              <w:rPr>
                <w:rFonts w:ascii="Times New Roman" w:eastAsia="Calibri" w:hAnsi="Times New Roman" w:cs="Times New Roman"/>
                <w:sz w:val="24"/>
                <w:szCs w:val="24"/>
                <w:lang w:val="ro-RO"/>
              </w:rPr>
              <w:t>Urticaria hipocomplementemică (vasculita anti-C1q)</w:t>
            </w:r>
          </w:p>
          <w:p w14:paraId="285F9261" w14:textId="77777777" w:rsidR="00D963BC" w:rsidRPr="00D963BC" w:rsidRDefault="00D963BC" w:rsidP="00A4651D">
            <w:pPr>
              <w:pStyle w:val="ListParagraph"/>
              <w:numPr>
                <w:ilvl w:val="0"/>
                <w:numId w:val="16"/>
              </w:numPr>
              <w:spacing w:after="200" w:line="360" w:lineRule="auto"/>
              <w:jc w:val="both"/>
              <w:rPr>
                <w:rFonts w:ascii="Times New Roman" w:eastAsia="Calibri" w:hAnsi="Times New Roman" w:cs="Times New Roman"/>
                <w:sz w:val="24"/>
                <w:szCs w:val="24"/>
                <w:lang w:val="ro-RO"/>
              </w:rPr>
            </w:pPr>
            <w:r w:rsidRPr="00D963BC">
              <w:rPr>
                <w:rFonts w:ascii="Times New Roman" w:eastAsia="Calibri" w:hAnsi="Times New Roman" w:cs="Times New Roman"/>
                <w:sz w:val="24"/>
                <w:szCs w:val="24"/>
                <w:lang w:val="ro-RO"/>
              </w:rPr>
              <w:t>VASCULITE ANCA POZITIVE</w:t>
            </w:r>
          </w:p>
          <w:p w14:paraId="757F5BC4" w14:textId="77777777" w:rsidR="00D963BC" w:rsidRDefault="00D963BC" w:rsidP="00A4651D">
            <w:pPr>
              <w:pStyle w:val="ListParagraph"/>
              <w:numPr>
                <w:ilvl w:val="0"/>
                <w:numId w:val="18"/>
              </w:numPr>
              <w:spacing w:after="200" w:line="360" w:lineRule="auto"/>
              <w:jc w:val="both"/>
              <w:rPr>
                <w:rFonts w:ascii="Times New Roman" w:eastAsia="Calibri" w:hAnsi="Times New Roman" w:cs="Times New Roman"/>
                <w:sz w:val="24"/>
                <w:szCs w:val="24"/>
                <w:lang w:val="ro-RO"/>
              </w:rPr>
            </w:pPr>
            <w:r w:rsidRPr="00A4651D">
              <w:rPr>
                <w:rFonts w:ascii="Times New Roman" w:eastAsia="Calibri" w:hAnsi="Times New Roman" w:cs="Times New Roman"/>
                <w:sz w:val="24"/>
                <w:szCs w:val="24"/>
                <w:lang w:val="ro-RO"/>
              </w:rPr>
              <w:t>Granulomatoza cu poliangiită</w:t>
            </w:r>
          </w:p>
          <w:p w14:paraId="31F067D0" w14:textId="77777777" w:rsidR="00D963BC" w:rsidRDefault="00D963BC" w:rsidP="00A4651D">
            <w:pPr>
              <w:pStyle w:val="ListParagraph"/>
              <w:numPr>
                <w:ilvl w:val="0"/>
                <w:numId w:val="18"/>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Poliangiita microscopică</w:t>
            </w:r>
          </w:p>
          <w:p w14:paraId="6ECB68E8" w14:textId="77777777" w:rsidR="003D5613" w:rsidRPr="00281751" w:rsidRDefault="00D963BC" w:rsidP="00281751">
            <w:pPr>
              <w:pStyle w:val="ListParagraph"/>
              <w:numPr>
                <w:ilvl w:val="0"/>
                <w:numId w:val="18"/>
              </w:numPr>
              <w:spacing w:after="200" w:line="360" w:lineRule="auto"/>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Granulomatoza eozinofilică cu poliangiită</w:t>
            </w:r>
          </w:p>
        </w:tc>
      </w:tr>
    </w:tbl>
    <w:p w14:paraId="51E37BD4" w14:textId="77777777" w:rsidR="00962C97" w:rsidRDefault="00962C97" w:rsidP="008D3AFB">
      <w:pPr>
        <w:spacing w:after="200" w:line="360" w:lineRule="auto"/>
        <w:ind w:firstLine="720"/>
        <w:jc w:val="both"/>
        <w:rPr>
          <w:rFonts w:ascii="Times New Roman" w:eastAsia="Calibri" w:hAnsi="Times New Roman" w:cs="Times New Roman"/>
          <w:sz w:val="24"/>
          <w:szCs w:val="24"/>
          <w:lang w:val="ro-RO"/>
        </w:rPr>
      </w:pPr>
    </w:p>
    <w:p w14:paraId="1F125114" w14:textId="77777777" w:rsidR="00BB04A3" w:rsidRPr="008F522C" w:rsidRDefault="00BB04A3" w:rsidP="008D3AFB">
      <w:pPr>
        <w:spacing w:after="200" w:line="360" w:lineRule="auto"/>
        <w:ind w:firstLine="720"/>
        <w:jc w:val="both"/>
        <w:rPr>
          <w:rFonts w:ascii="Times New Roman" w:eastAsia="Calibri" w:hAnsi="Times New Roman" w:cs="Times New Roman"/>
          <w:b/>
          <w:bCs/>
          <w:sz w:val="24"/>
          <w:szCs w:val="24"/>
          <w:lang w:val="ro-RO"/>
        </w:rPr>
      </w:pPr>
      <w:r w:rsidRPr="008F522C">
        <w:rPr>
          <w:rFonts w:ascii="Times New Roman" w:eastAsia="Calibri" w:hAnsi="Times New Roman" w:cs="Times New Roman"/>
          <w:b/>
          <w:bCs/>
          <w:sz w:val="24"/>
          <w:szCs w:val="24"/>
          <w:lang w:val="ro-RO"/>
        </w:rPr>
        <w:t>VASCULITELE</w:t>
      </w:r>
      <w:r w:rsidR="007A4696" w:rsidRPr="008F522C">
        <w:rPr>
          <w:rFonts w:ascii="Times New Roman" w:eastAsia="Calibri" w:hAnsi="Times New Roman" w:cs="Times New Roman"/>
          <w:b/>
          <w:bCs/>
          <w:sz w:val="24"/>
          <w:szCs w:val="24"/>
          <w:lang w:val="ro-RO"/>
        </w:rPr>
        <w:t xml:space="preserve"> DE VAS MARE</w:t>
      </w:r>
    </w:p>
    <w:p w14:paraId="1CBD36AC" w14:textId="77777777" w:rsidR="00681D69" w:rsidRPr="008F522C" w:rsidRDefault="00681D69" w:rsidP="00B24E29">
      <w:pPr>
        <w:spacing w:after="200" w:line="360" w:lineRule="auto"/>
        <w:ind w:firstLine="720"/>
        <w:jc w:val="both"/>
        <w:rPr>
          <w:rFonts w:ascii="Times New Roman" w:eastAsia="Calibri" w:hAnsi="Times New Roman" w:cs="Times New Roman"/>
          <w:sz w:val="24"/>
          <w:szCs w:val="24"/>
          <w:lang w:val="ro-RO"/>
        </w:rPr>
      </w:pPr>
      <w:r w:rsidRPr="008F522C">
        <w:rPr>
          <w:rFonts w:ascii="Times New Roman" w:eastAsia="Calibri" w:hAnsi="Times New Roman" w:cs="Times New Roman"/>
          <w:sz w:val="24"/>
          <w:szCs w:val="24"/>
          <w:lang w:val="ro-RO"/>
        </w:rPr>
        <w:t xml:space="preserve">Conform CHCC2012, sunt definite ca vasculite care afectează vasele mari, aorta și ramurile ei. Au doi reprezentanți, arterita giganto-celulară (AGC) și arterita Takayasu (AT) cu caracteristici histologice și imunopatogenie relativ similare. </w:t>
      </w:r>
    </w:p>
    <w:p w14:paraId="21E72620" w14:textId="77777777" w:rsidR="00181923" w:rsidRPr="008F522C" w:rsidRDefault="00181923" w:rsidP="00B24E29">
      <w:pPr>
        <w:spacing w:after="200" w:line="360" w:lineRule="auto"/>
        <w:ind w:firstLine="720"/>
        <w:jc w:val="both"/>
        <w:rPr>
          <w:rFonts w:ascii="Times New Roman" w:eastAsia="Calibri" w:hAnsi="Times New Roman" w:cs="Times New Roman"/>
          <w:b/>
          <w:bCs/>
          <w:sz w:val="24"/>
          <w:szCs w:val="24"/>
          <w:lang w:val="ro-RO"/>
        </w:rPr>
      </w:pPr>
      <w:r w:rsidRPr="008F522C">
        <w:rPr>
          <w:rFonts w:ascii="Times New Roman" w:eastAsia="Calibri" w:hAnsi="Times New Roman" w:cs="Times New Roman"/>
          <w:b/>
          <w:bCs/>
          <w:sz w:val="24"/>
          <w:szCs w:val="24"/>
          <w:lang w:val="ro-RO"/>
        </w:rPr>
        <w:t>ARTERITA GIGANTO</w:t>
      </w:r>
      <w:r w:rsidR="00593FF6" w:rsidRPr="008F522C">
        <w:rPr>
          <w:rFonts w:ascii="Times New Roman" w:eastAsia="Calibri" w:hAnsi="Times New Roman" w:cs="Times New Roman"/>
          <w:b/>
          <w:bCs/>
          <w:sz w:val="24"/>
          <w:szCs w:val="24"/>
          <w:lang w:val="ro-RO"/>
        </w:rPr>
        <w:t>-CELULARĂ</w:t>
      </w:r>
      <w:r w:rsidR="005D085E" w:rsidRPr="008F522C">
        <w:rPr>
          <w:rFonts w:ascii="Times New Roman" w:eastAsia="Calibri" w:hAnsi="Times New Roman" w:cs="Times New Roman"/>
          <w:b/>
          <w:bCs/>
          <w:sz w:val="24"/>
          <w:szCs w:val="24"/>
          <w:lang w:val="ro-RO"/>
        </w:rPr>
        <w:t>/ARTERITA CU CELULE GIGANTE</w:t>
      </w:r>
      <w:r w:rsidR="00F75191" w:rsidRPr="008F522C">
        <w:rPr>
          <w:rFonts w:ascii="Times New Roman" w:eastAsia="Calibri" w:hAnsi="Times New Roman" w:cs="Times New Roman"/>
          <w:b/>
          <w:bCs/>
          <w:sz w:val="24"/>
          <w:szCs w:val="24"/>
          <w:lang w:val="ro-RO"/>
        </w:rPr>
        <w:t xml:space="preserve"> (AGC)</w:t>
      </w:r>
    </w:p>
    <w:p w14:paraId="3BAE5199" w14:textId="77777777" w:rsidR="00FD149F" w:rsidRDefault="008D38B5" w:rsidP="00670608">
      <w:pPr>
        <w:spacing w:after="200" w:line="360" w:lineRule="auto"/>
        <w:ind w:firstLine="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AGC este o arterită granulomatoasă ce afectează de obicei aorta și ramurile ei principale. Are tropism pentru vasele de la nivelul capului și gâtului – arterele oftalmice, ciliare posterioare, occipitale, ramurile carotide și vertebrale dar și pentru artera temporală. Între 30 și 70% dintre pacienți pot prezenta inflamație la nivelul vaselor mari. Vârsta de apariție este după 50 de ani, fiind considerată aproape exclusiv o vasculită a populației vârstnice.</w:t>
      </w:r>
    </w:p>
    <w:p w14:paraId="297D285C" w14:textId="555412AF" w:rsidR="00670608" w:rsidRPr="00786BBF" w:rsidRDefault="00786BBF" w:rsidP="00670608">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A20EE7">
        <w:rPr>
          <w:rFonts w:ascii="Times New Roman" w:eastAsia="Calibri" w:hAnsi="Times New Roman" w:cs="Times New Roman"/>
          <w:b/>
          <w:bCs/>
          <w:color w:val="231F20"/>
          <w:sz w:val="24"/>
          <w:szCs w:val="24"/>
          <w:lang w:val="ro-RO"/>
        </w:rPr>
        <w:lastRenderedPageBreak/>
        <w:t>Tabloul clinic</w:t>
      </w:r>
      <w:r>
        <w:rPr>
          <w:rFonts w:ascii="Times New Roman" w:eastAsia="Calibri" w:hAnsi="Times New Roman" w:cs="Times New Roman"/>
          <w:color w:val="231F20"/>
          <w:sz w:val="24"/>
          <w:szCs w:val="24"/>
          <w:lang w:val="ro-RO"/>
        </w:rPr>
        <w:t xml:space="preserve"> </w:t>
      </w:r>
      <w:r w:rsidR="00517FF4">
        <w:rPr>
          <w:rFonts w:ascii="Times New Roman" w:eastAsia="Calibri" w:hAnsi="Times New Roman" w:cs="Times New Roman"/>
          <w:color w:val="231F20"/>
          <w:sz w:val="24"/>
          <w:szCs w:val="24"/>
          <w:lang w:val="ro-RO"/>
        </w:rPr>
        <w:t>se datorează în principal</w:t>
      </w:r>
      <w:r w:rsidR="00771801">
        <w:rPr>
          <w:rFonts w:ascii="Times New Roman" w:eastAsia="Calibri" w:hAnsi="Times New Roman" w:cs="Times New Roman"/>
          <w:color w:val="231F20"/>
          <w:sz w:val="24"/>
          <w:szCs w:val="24"/>
          <w:lang w:val="ro-RO"/>
        </w:rPr>
        <w:t xml:space="preserve"> modificărilor vasculare de tip ischemic și, </w:t>
      </w:r>
      <w:r w:rsidR="00F23EF4">
        <w:rPr>
          <w:rFonts w:ascii="Times New Roman" w:eastAsia="Calibri" w:hAnsi="Times New Roman" w:cs="Times New Roman"/>
          <w:color w:val="231F20"/>
          <w:sz w:val="24"/>
          <w:szCs w:val="24"/>
          <w:lang w:val="ro-RO"/>
        </w:rPr>
        <w:t xml:space="preserve">în </w:t>
      </w:r>
      <w:r w:rsidR="009C4357">
        <w:rPr>
          <w:rFonts w:ascii="Times New Roman" w:eastAsia="Calibri" w:hAnsi="Times New Roman" w:cs="Times New Roman"/>
          <w:color w:val="231F20"/>
          <w:sz w:val="24"/>
          <w:szCs w:val="24"/>
          <w:lang w:val="ro-RO"/>
        </w:rPr>
        <w:t>cele mai multe cazuri,</w:t>
      </w:r>
      <w:r w:rsidR="00F23EF4">
        <w:rPr>
          <w:rFonts w:ascii="Times New Roman" w:eastAsia="Calibri" w:hAnsi="Times New Roman" w:cs="Times New Roman"/>
          <w:color w:val="231F20"/>
          <w:sz w:val="24"/>
          <w:szCs w:val="24"/>
          <w:lang w:val="ro-RO"/>
        </w:rPr>
        <w:t xml:space="preserve"> este dominat de simptomatologia de la nivelul extremită</w:t>
      </w:r>
      <w:r w:rsidR="00517FF4">
        <w:rPr>
          <w:rFonts w:ascii="Times New Roman" w:eastAsia="Calibri" w:hAnsi="Times New Roman" w:cs="Times New Roman"/>
          <w:color w:val="231F20"/>
          <w:sz w:val="24"/>
          <w:szCs w:val="24"/>
          <w:lang w:val="ro-RO"/>
        </w:rPr>
        <w:t>ții cefalice</w:t>
      </w:r>
      <w:r w:rsidR="008F522C">
        <w:rPr>
          <w:rFonts w:ascii="Times New Roman" w:eastAsia="Calibri" w:hAnsi="Times New Roman" w:cs="Times New Roman"/>
          <w:color w:val="231F20"/>
          <w:sz w:val="24"/>
          <w:szCs w:val="24"/>
          <w:lang w:val="ro-RO"/>
        </w:rPr>
        <w:t xml:space="preserve"> (Tabelul 2)</w:t>
      </w:r>
      <w:r w:rsidR="005D085E">
        <w:rPr>
          <w:rFonts w:ascii="Times New Roman" w:eastAsia="Calibri" w:hAnsi="Times New Roman" w:cs="Times New Roman"/>
          <w:color w:val="231F20"/>
          <w:sz w:val="24"/>
          <w:szCs w:val="24"/>
          <w:lang w:val="ro-RO"/>
        </w:rPr>
        <w:t>.</w:t>
      </w:r>
    </w:p>
    <w:p w14:paraId="418219BA" w14:textId="79D2052E" w:rsidR="00786BBF" w:rsidRPr="00786BBF" w:rsidRDefault="008F522C" w:rsidP="00786BBF">
      <w:pPr>
        <w:autoSpaceDE w:val="0"/>
        <w:autoSpaceDN w:val="0"/>
        <w:adjustRightInd w:val="0"/>
        <w:spacing w:after="0" w:line="276" w:lineRule="auto"/>
        <w:ind w:firstLine="708"/>
        <w:jc w:val="both"/>
        <w:rPr>
          <w:rFonts w:ascii="Times New Roman" w:eastAsia="Calibri" w:hAnsi="Times New Roman" w:cs="Times New Roman"/>
          <w:i/>
          <w:iCs/>
          <w:color w:val="231F20"/>
          <w:sz w:val="24"/>
          <w:szCs w:val="24"/>
          <w:vertAlign w:val="superscript"/>
          <w:lang w:val="ro-RO"/>
        </w:rPr>
      </w:pPr>
      <w:bookmarkStart w:id="2" w:name="_Hlk62826608"/>
      <w:r w:rsidRPr="008F522C">
        <w:rPr>
          <w:rFonts w:ascii="Times New Roman" w:eastAsia="Calibri" w:hAnsi="Times New Roman" w:cs="Times New Roman"/>
          <w:b/>
          <w:bCs/>
          <w:color w:val="231F20"/>
          <w:sz w:val="24"/>
          <w:szCs w:val="24"/>
          <w:lang w:val="ro-RO"/>
        </w:rPr>
        <w:t xml:space="preserve">Tabelul </w:t>
      </w:r>
      <w:r>
        <w:rPr>
          <w:rFonts w:ascii="Times New Roman" w:eastAsia="Calibri" w:hAnsi="Times New Roman" w:cs="Times New Roman"/>
          <w:b/>
          <w:bCs/>
          <w:color w:val="231F20"/>
          <w:sz w:val="24"/>
          <w:szCs w:val="24"/>
          <w:lang w:val="ro-RO"/>
        </w:rPr>
        <w:t>2</w:t>
      </w:r>
      <w:r w:rsidRPr="008F522C">
        <w:rPr>
          <w:rFonts w:ascii="Times New Roman" w:eastAsia="Calibri" w:hAnsi="Times New Roman" w:cs="Times New Roman"/>
          <w:b/>
          <w:bCs/>
          <w:color w:val="231F20"/>
          <w:sz w:val="24"/>
          <w:szCs w:val="24"/>
          <w:lang w:val="ro-RO"/>
        </w:rPr>
        <w:t>.</w:t>
      </w:r>
      <w:r>
        <w:rPr>
          <w:rFonts w:ascii="Times New Roman" w:eastAsia="Calibri" w:hAnsi="Times New Roman" w:cs="Times New Roman"/>
          <w:color w:val="231F20"/>
          <w:sz w:val="24"/>
          <w:szCs w:val="24"/>
          <w:lang w:val="ro-RO"/>
        </w:rPr>
        <w:t xml:space="preserve"> </w:t>
      </w:r>
      <w:r w:rsidR="00786BBF" w:rsidRPr="00786BBF">
        <w:rPr>
          <w:rFonts w:ascii="Times New Roman" w:eastAsia="Calibri" w:hAnsi="Times New Roman" w:cs="Times New Roman"/>
          <w:color w:val="231F20"/>
          <w:sz w:val="24"/>
          <w:szCs w:val="24"/>
          <w:lang w:val="ro-RO"/>
        </w:rPr>
        <w:t>Simptomele și manifestările clinice sugestive pentru AGC activ</w:t>
      </w:r>
      <w:r w:rsidR="00656742">
        <w:rPr>
          <w:rFonts w:ascii="Times New Roman" w:eastAsia="Calibri" w:hAnsi="Times New Roman" w:cs="Times New Roman"/>
          <w:color w:val="231F20"/>
          <w:sz w:val="24"/>
          <w:szCs w:val="24"/>
          <w:lang w:val="ro-RO"/>
        </w:rPr>
        <w:t>ă</w:t>
      </w:r>
      <w:r w:rsidR="00786BBF" w:rsidRPr="00786BBF">
        <w:rPr>
          <w:rFonts w:ascii="Times New Roman" w:eastAsia="Calibri" w:hAnsi="Times New Roman" w:cs="Times New Roman"/>
          <w:color w:val="231F20"/>
          <w:sz w:val="24"/>
          <w:szCs w:val="24"/>
          <w:lang w:val="ro-RO"/>
        </w:rPr>
        <w:t xml:space="preserve">, adaptat după </w:t>
      </w:r>
      <w:bookmarkStart w:id="3" w:name="_Hlk62772280"/>
      <w:r w:rsidR="00786BBF" w:rsidRPr="00786BBF">
        <w:rPr>
          <w:rFonts w:ascii="Times New Roman" w:eastAsia="Calibri" w:hAnsi="Times New Roman" w:cs="Times New Roman"/>
          <w:i/>
          <w:iCs/>
          <w:color w:val="231F20"/>
          <w:sz w:val="24"/>
          <w:szCs w:val="24"/>
          <w:lang w:val="ro-RO"/>
        </w:rPr>
        <w:t>Hellmich B, et al</w:t>
      </w:r>
      <w:r>
        <w:rPr>
          <w:rFonts w:ascii="Times New Roman" w:eastAsia="Calibri" w:hAnsi="Times New Roman" w:cs="Times New Roman"/>
          <w:i/>
          <w:iCs/>
          <w:color w:val="231F20"/>
          <w:sz w:val="24"/>
          <w:szCs w:val="24"/>
          <w:lang w:val="ro-RO"/>
        </w:rPr>
        <w:t>.</w:t>
      </w:r>
      <w:r w:rsidR="00786BBF" w:rsidRPr="00786BBF">
        <w:rPr>
          <w:rFonts w:ascii="Times New Roman" w:eastAsia="Calibri" w:hAnsi="Times New Roman" w:cs="Times New Roman"/>
          <w:i/>
          <w:iCs/>
          <w:color w:val="231F20"/>
          <w:sz w:val="24"/>
          <w:szCs w:val="24"/>
          <w:lang w:val="ro-RO"/>
        </w:rPr>
        <w:t xml:space="preserve"> 2018 Ann Rheu</w:t>
      </w:r>
      <w:r w:rsidR="00281751">
        <w:rPr>
          <w:rFonts w:ascii="Times New Roman" w:eastAsia="Calibri" w:hAnsi="Times New Roman" w:cs="Times New Roman"/>
          <w:i/>
          <w:iCs/>
          <w:color w:val="231F20"/>
          <w:sz w:val="24"/>
          <w:szCs w:val="24"/>
          <w:lang w:val="ro-RO"/>
        </w:rPr>
        <w:t>m</w:t>
      </w:r>
      <w:r w:rsidR="00786BBF" w:rsidRPr="00786BBF">
        <w:rPr>
          <w:rFonts w:ascii="Times New Roman" w:eastAsia="Calibri" w:hAnsi="Times New Roman" w:cs="Times New Roman"/>
          <w:i/>
          <w:iCs/>
          <w:color w:val="231F20"/>
          <w:sz w:val="24"/>
          <w:szCs w:val="24"/>
          <w:lang w:val="ro-RO"/>
        </w:rPr>
        <w:t xml:space="preserve"> Dis 202</w:t>
      </w:r>
      <w:r w:rsidR="00281751">
        <w:rPr>
          <w:rFonts w:ascii="Times New Roman" w:eastAsia="Calibri" w:hAnsi="Times New Roman" w:cs="Times New Roman"/>
          <w:i/>
          <w:iCs/>
          <w:color w:val="231F20"/>
          <w:sz w:val="24"/>
          <w:szCs w:val="24"/>
          <w:lang w:val="ro-RO"/>
        </w:rPr>
        <w:t>0</w:t>
      </w:r>
    </w:p>
    <w:bookmarkEnd w:id="2"/>
    <w:bookmarkEnd w:id="3"/>
    <w:p w14:paraId="3721D946" w14:textId="77777777" w:rsidR="00786BBF" w:rsidRPr="00786BBF" w:rsidRDefault="00786BBF" w:rsidP="00786BBF">
      <w:pPr>
        <w:autoSpaceDE w:val="0"/>
        <w:autoSpaceDN w:val="0"/>
        <w:adjustRightInd w:val="0"/>
        <w:spacing w:after="0" w:line="276" w:lineRule="auto"/>
        <w:ind w:firstLine="708"/>
        <w:jc w:val="both"/>
        <w:rPr>
          <w:rFonts w:ascii="Times New Roman" w:eastAsia="Calibri" w:hAnsi="Times New Roman" w:cs="Times New Roman"/>
          <w:i/>
          <w:iCs/>
          <w:color w:val="231F20"/>
          <w:sz w:val="24"/>
          <w:szCs w:val="24"/>
          <w:lang w:val="ro-RO"/>
        </w:rPr>
      </w:pPr>
    </w:p>
    <w:tbl>
      <w:tblPr>
        <w:tblStyle w:val="TableGrid"/>
        <w:tblW w:w="0" w:type="auto"/>
        <w:tblLook w:val="04A0" w:firstRow="1" w:lastRow="0" w:firstColumn="1" w:lastColumn="0" w:noHBand="0" w:noVBand="1"/>
      </w:tblPr>
      <w:tblGrid>
        <w:gridCol w:w="4508"/>
        <w:gridCol w:w="4508"/>
      </w:tblGrid>
      <w:tr w:rsidR="00786BBF" w:rsidRPr="00786BBF" w14:paraId="3DDCB90D" w14:textId="77777777" w:rsidTr="007277BF">
        <w:tc>
          <w:tcPr>
            <w:tcW w:w="4508" w:type="dxa"/>
          </w:tcPr>
          <w:p w14:paraId="28993111" w14:textId="77777777" w:rsidR="00786BBF" w:rsidRPr="00786BBF" w:rsidRDefault="00786BBF" w:rsidP="00786BBF">
            <w:pPr>
              <w:autoSpaceDE w:val="0"/>
              <w:autoSpaceDN w:val="0"/>
              <w:adjustRightInd w:val="0"/>
              <w:spacing w:line="276" w:lineRule="auto"/>
              <w:jc w:val="center"/>
              <w:rPr>
                <w:rFonts w:ascii="Times New Roman" w:eastAsia="Calibri" w:hAnsi="Times New Roman" w:cs="Times New Roman"/>
                <w:b/>
                <w:bCs/>
                <w:color w:val="231F20"/>
                <w:sz w:val="24"/>
                <w:szCs w:val="24"/>
                <w:lang w:val="ro-RO"/>
              </w:rPr>
            </w:pPr>
            <w:bookmarkStart w:id="4" w:name="_Hlk62826657"/>
            <w:r w:rsidRPr="00786BBF">
              <w:rPr>
                <w:rFonts w:ascii="Times New Roman" w:eastAsia="Calibri" w:hAnsi="Times New Roman" w:cs="Times New Roman"/>
                <w:b/>
                <w:bCs/>
                <w:color w:val="231F20"/>
                <w:sz w:val="24"/>
                <w:szCs w:val="24"/>
                <w:lang w:val="ro-RO"/>
              </w:rPr>
              <w:t>Semne</w:t>
            </w:r>
          </w:p>
        </w:tc>
        <w:tc>
          <w:tcPr>
            <w:tcW w:w="4508" w:type="dxa"/>
          </w:tcPr>
          <w:p w14:paraId="17FC1C77" w14:textId="77777777" w:rsidR="00786BBF" w:rsidRPr="00786BBF" w:rsidRDefault="00786BBF" w:rsidP="00786BBF">
            <w:pPr>
              <w:autoSpaceDE w:val="0"/>
              <w:autoSpaceDN w:val="0"/>
              <w:adjustRightInd w:val="0"/>
              <w:spacing w:line="276" w:lineRule="auto"/>
              <w:jc w:val="center"/>
              <w:rPr>
                <w:rFonts w:ascii="Times New Roman" w:eastAsia="Calibri" w:hAnsi="Times New Roman" w:cs="Times New Roman"/>
                <w:b/>
                <w:bCs/>
                <w:color w:val="231F20"/>
                <w:sz w:val="24"/>
                <w:szCs w:val="24"/>
                <w:lang w:val="ro-RO"/>
              </w:rPr>
            </w:pPr>
            <w:r w:rsidRPr="00786BBF">
              <w:rPr>
                <w:rFonts w:ascii="Times New Roman" w:eastAsia="Calibri" w:hAnsi="Times New Roman" w:cs="Times New Roman"/>
                <w:b/>
                <w:bCs/>
                <w:color w:val="231F20"/>
                <w:sz w:val="24"/>
                <w:szCs w:val="24"/>
                <w:lang w:val="ro-RO"/>
              </w:rPr>
              <w:t>Manifest</w:t>
            </w:r>
            <w:r w:rsidR="00E1196F">
              <w:rPr>
                <w:rFonts w:ascii="Times New Roman" w:eastAsia="Calibri" w:hAnsi="Times New Roman" w:cs="Times New Roman"/>
                <w:b/>
                <w:bCs/>
                <w:color w:val="231F20"/>
                <w:sz w:val="24"/>
                <w:szCs w:val="24"/>
                <w:lang w:val="ro-RO"/>
              </w:rPr>
              <w:t>ă</w:t>
            </w:r>
            <w:r w:rsidRPr="00786BBF">
              <w:rPr>
                <w:rFonts w:ascii="Times New Roman" w:eastAsia="Calibri" w:hAnsi="Times New Roman" w:cs="Times New Roman"/>
                <w:b/>
                <w:bCs/>
                <w:color w:val="231F20"/>
                <w:sz w:val="24"/>
                <w:szCs w:val="24"/>
                <w:lang w:val="ro-RO"/>
              </w:rPr>
              <w:t>ri clinice la examenul fizic</w:t>
            </w:r>
          </w:p>
        </w:tc>
      </w:tr>
      <w:tr w:rsidR="00786BBF" w:rsidRPr="00786BBF" w14:paraId="252356E6" w14:textId="77777777" w:rsidTr="007277BF">
        <w:tc>
          <w:tcPr>
            <w:tcW w:w="4508" w:type="dxa"/>
          </w:tcPr>
          <w:p w14:paraId="57B40DEC" w14:textId="2008656B"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Cefalee nou instalat</w:t>
            </w:r>
            <w:r w:rsidR="00E1196F">
              <w:rPr>
                <w:rFonts w:ascii="Times New Roman" w:eastAsia="Calibri" w:hAnsi="Times New Roman" w:cs="Times New Roman"/>
                <w:color w:val="231F20"/>
                <w:sz w:val="24"/>
                <w:szCs w:val="24"/>
                <w:lang w:val="ro-RO"/>
              </w:rPr>
              <w:t>ă</w:t>
            </w:r>
            <w:r w:rsidRPr="00786BBF">
              <w:rPr>
                <w:rFonts w:ascii="Times New Roman" w:eastAsia="Calibri" w:hAnsi="Times New Roman" w:cs="Times New Roman"/>
                <w:color w:val="231F20"/>
                <w:sz w:val="24"/>
                <w:szCs w:val="24"/>
                <w:lang w:val="ro-RO"/>
              </w:rPr>
              <w:t>, persistentă localizat</w:t>
            </w:r>
            <w:r w:rsidR="00E1196F">
              <w:rPr>
                <w:rFonts w:ascii="Times New Roman" w:eastAsia="Calibri" w:hAnsi="Times New Roman" w:cs="Times New Roman"/>
                <w:color w:val="231F20"/>
                <w:sz w:val="24"/>
                <w:szCs w:val="24"/>
                <w:lang w:val="ro-RO"/>
              </w:rPr>
              <w:t xml:space="preserve">ă </w:t>
            </w:r>
            <w:r w:rsidRPr="00786BBF">
              <w:rPr>
                <w:rFonts w:ascii="Times New Roman" w:eastAsia="Calibri" w:hAnsi="Times New Roman" w:cs="Times New Roman"/>
                <w:color w:val="231F20"/>
                <w:sz w:val="24"/>
                <w:szCs w:val="24"/>
                <w:lang w:val="ro-RO"/>
              </w:rPr>
              <w:t>frecvent în zona temporal</w:t>
            </w:r>
            <w:r w:rsidR="00E1196F">
              <w:rPr>
                <w:rFonts w:ascii="Times New Roman" w:eastAsia="Calibri" w:hAnsi="Times New Roman" w:cs="Times New Roman"/>
                <w:color w:val="231F20"/>
                <w:sz w:val="24"/>
                <w:szCs w:val="24"/>
                <w:lang w:val="ro-RO"/>
              </w:rPr>
              <w:t>ă</w:t>
            </w:r>
          </w:p>
        </w:tc>
        <w:tc>
          <w:tcPr>
            <w:tcW w:w="4508" w:type="dxa"/>
          </w:tcPr>
          <w:p w14:paraId="31870DA6"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Sensibilitate/îngroșarea arterei temporale superficiale la palpare, cu/f</w:t>
            </w:r>
            <w:r w:rsidR="00E1196F">
              <w:rPr>
                <w:rFonts w:ascii="Times New Roman" w:eastAsia="Calibri" w:hAnsi="Times New Roman" w:cs="Times New Roman"/>
                <w:color w:val="231F20"/>
                <w:sz w:val="24"/>
                <w:szCs w:val="24"/>
                <w:lang w:val="ro-RO"/>
              </w:rPr>
              <w:t>ără</w:t>
            </w:r>
            <w:r w:rsidRPr="00786BBF">
              <w:rPr>
                <w:rFonts w:ascii="Times New Roman" w:eastAsia="Calibri" w:hAnsi="Times New Roman" w:cs="Times New Roman"/>
                <w:color w:val="231F20"/>
                <w:sz w:val="24"/>
                <w:szCs w:val="24"/>
                <w:lang w:val="ro-RO"/>
              </w:rPr>
              <w:t xml:space="preserve"> reducerea pulsațiilor</w:t>
            </w:r>
          </w:p>
        </w:tc>
      </w:tr>
      <w:tr w:rsidR="00786BBF" w:rsidRPr="00786BBF" w14:paraId="09F046E2" w14:textId="77777777" w:rsidTr="007277BF">
        <w:tc>
          <w:tcPr>
            <w:tcW w:w="4508" w:type="dxa"/>
          </w:tcPr>
          <w:p w14:paraId="57C974DE"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Simptome constituționale (de ex. scădere în greutate &gt; 2 kg, subfebră, fatigabilitate, transpirații nocturne)</w:t>
            </w:r>
          </w:p>
        </w:tc>
        <w:tc>
          <w:tcPr>
            <w:tcW w:w="4508" w:type="dxa"/>
          </w:tcPr>
          <w:p w14:paraId="66955524"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Sensibilitatea scalpului</w:t>
            </w:r>
          </w:p>
        </w:tc>
      </w:tr>
      <w:tr w:rsidR="00786BBF" w:rsidRPr="00786BBF" w14:paraId="26815CA1" w14:textId="77777777" w:rsidTr="007277BF">
        <w:tc>
          <w:tcPr>
            <w:tcW w:w="4508" w:type="dxa"/>
          </w:tcPr>
          <w:p w14:paraId="61DC08CB"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Claudicația mușchilor feței sau a limbii</w:t>
            </w:r>
          </w:p>
        </w:tc>
        <w:tc>
          <w:tcPr>
            <w:tcW w:w="4508" w:type="dxa"/>
          </w:tcPr>
          <w:p w14:paraId="514A3288"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Sufluri (în special axilar)</w:t>
            </w:r>
          </w:p>
        </w:tc>
      </w:tr>
      <w:tr w:rsidR="00786BBF" w:rsidRPr="00786BBF" w14:paraId="19726684" w14:textId="77777777" w:rsidTr="007277BF">
        <w:tc>
          <w:tcPr>
            <w:tcW w:w="4508" w:type="dxa"/>
          </w:tcPr>
          <w:p w14:paraId="4BCB626E"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Simptomatologie vizual</w:t>
            </w:r>
            <w:r w:rsidR="00E1196F">
              <w:rPr>
                <w:rFonts w:ascii="Times New Roman" w:eastAsia="Calibri" w:hAnsi="Times New Roman" w:cs="Times New Roman"/>
                <w:color w:val="231F20"/>
                <w:sz w:val="24"/>
                <w:szCs w:val="24"/>
                <w:lang w:val="ro-RO"/>
              </w:rPr>
              <w:t>ă</w:t>
            </w:r>
            <w:r w:rsidRPr="00786BBF">
              <w:rPr>
                <w:rFonts w:ascii="Times New Roman" w:eastAsia="Calibri" w:hAnsi="Times New Roman" w:cs="Times New Roman"/>
                <w:color w:val="231F20"/>
                <w:sz w:val="24"/>
                <w:szCs w:val="24"/>
                <w:lang w:val="ro-RO"/>
              </w:rPr>
              <w:t xml:space="preserve"> acut</w:t>
            </w:r>
            <w:r w:rsidR="00E1196F">
              <w:rPr>
                <w:rFonts w:ascii="Times New Roman" w:eastAsia="Calibri" w:hAnsi="Times New Roman" w:cs="Times New Roman"/>
                <w:color w:val="231F20"/>
                <w:sz w:val="24"/>
                <w:szCs w:val="24"/>
                <w:lang w:val="ro-RO"/>
              </w:rPr>
              <w:t>ă</w:t>
            </w:r>
            <w:r w:rsidRPr="00786BBF">
              <w:rPr>
                <w:rFonts w:ascii="Times New Roman" w:eastAsia="Calibri" w:hAnsi="Times New Roman" w:cs="Times New Roman"/>
                <w:color w:val="231F20"/>
                <w:sz w:val="24"/>
                <w:szCs w:val="24"/>
                <w:lang w:val="ro-RO"/>
              </w:rPr>
              <w:t xml:space="preserve"> (amauroz</w:t>
            </w:r>
            <w:r w:rsidR="00E1196F">
              <w:rPr>
                <w:rFonts w:ascii="Times New Roman" w:eastAsia="Calibri" w:hAnsi="Times New Roman" w:cs="Times New Roman"/>
                <w:color w:val="231F20"/>
                <w:sz w:val="24"/>
                <w:szCs w:val="24"/>
                <w:lang w:val="ro-RO"/>
              </w:rPr>
              <w:t>ă</w:t>
            </w:r>
            <w:r w:rsidRPr="00786BBF">
              <w:rPr>
                <w:rFonts w:ascii="Times New Roman" w:eastAsia="Calibri" w:hAnsi="Times New Roman" w:cs="Times New Roman"/>
                <w:color w:val="231F20"/>
                <w:sz w:val="24"/>
                <w:szCs w:val="24"/>
                <w:lang w:val="ro-RO"/>
              </w:rPr>
              <w:t xml:space="preserve"> fugace, pierdere acut</w:t>
            </w:r>
            <w:r w:rsidR="00E1196F">
              <w:rPr>
                <w:rFonts w:ascii="Times New Roman" w:eastAsia="Calibri" w:hAnsi="Times New Roman" w:cs="Times New Roman"/>
                <w:color w:val="231F20"/>
                <w:sz w:val="24"/>
                <w:szCs w:val="24"/>
                <w:lang w:val="ro-RO"/>
              </w:rPr>
              <w:t>ă</w:t>
            </w:r>
            <w:r w:rsidRPr="00786BBF">
              <w:rPr>
                <w:rFonts w:ascii="Times New Roman" w:eastAsia="Calibri" w:hAnsi="Times New Roman" w:cs="Times New Roman"/>
                <w:color w:val="231F20"/>
                <w:sz w:val="24"/>
                <w:szCs w:val="24"/>
                <w:lang w:val="ro-RO"/>
              </w:rPr>
              <w:t xml:space="preserve"> de vedere, diplopie)</w:t>
            </w:r>
          </w:p>
        </w:tc>
        <w:tc>
          <w:tcPr>
            <w:tcW w:w="4508" w:type="dxa"/>
          </w:tcPr>
          <w:p w14:paraId="548BFCE9"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Diminuarea pulsului sau tensiunii arteriale la nivelul membrelor superioare</w:t>
            </w:r>
          </w:p>
        </w:tc>
      </w:tr>
      <w:tr w:rsidR="00786BBF" w:rsidRPr="00786BBF" w14:paraId="177A14FF" w14:textId="77777777" w:rsidTr="007277BF">
        <w:tc>
          <w:tcPr>
            <w:tcW w:w="4508" w:type="dxa"/>
          </w:tcPr>
          <w:p w14:paraId="54D390B2"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Simptomatologie de polimialgie reumatică</w:t>
            </w:r>
          </w:p>
        </w:tc>
        <w:tc>
          <w:tcPr>
            <w:tcW w:w="4508" w:type="dxa"/>
          </w:tcPr>
          <w:p w14:paraId="5362E616"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Aspecte patologice la examenul oftalmologic de tipul:</w:t>
            </w:r>
          </w:p>
          <w:p w14:paraId="1421C9A3" w14:textId="7D277895"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 neuropatie optic</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anterioar</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ischemică</w:t>
            </w:r>
          </w:p>
          <w:p w14:paraId="6F413E6A" w14:textId="6E49ED9A"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 paralizie/parez</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de nerv oculomotor</w:t>
            </w:r>
          </w:p>
          <w:p w14:paraId="35045E4C" w14:textId="252D285B"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 ocluzie de arter</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central</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a retinei</w:t>
            </w:r>
          </w:p>
          <w:p w14:paraId="03A251C5" w14:textId="5071E4D4"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 ocluzie de ramuri de arter</w:t>
            </w:r>
            <w:r w:rsidR="00254E04">
              <w:rPr>
                <w:rFonts w:ascii="Times New Roman" w:eastAsia="Calibri" w:hAnsi="Times New Roman" w:cs="Times New Roman"/>
                <w:sz w:val="24"/>
                <w:szCs w:val="24"/>
                <w:lang w:val="ro-RO"/>
              </w:rPr>
              <w:t>ă</w:t>
            </w:r>
            <w:r w:rsidRPr="00786BBF">
              <w:rPr>
                <w:rFonts w:ascii="Times New Roman" w:eastAsia="Calibri" w:hAnsi="Times New Roman" w:cs="Times New Roman"/>
                <w:sz w:val="24"/>
                <w:szCs w:val="24"/>
                <w:lang w:val="ro-RO"/>
              </w:rPr>
              <w:t xml:space="preserve"> retinian</w:t>
            </w:r>
            <w:r w:rsidR="00254E04">
              <w:rPr>
                <w:rFonts w:ascii="Times New Roman" w:eastAsia="Calibri" w:hAnsi="Times New Roman" w:cs="Times New Roman"/>
                <w:sz w:val="24"/>
                <w:szCs w:val="24"/>
                <w:lang w:val="ro-RO"/>
              </w:rPr>
              <w:t>ă</w:t>
            </w:r>
          </w:p>
          <w:p w14:paraId="0527A2F9" w14:textId="3C647494"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r w:rsidRPr="00786BBF">
              <w:rPr>
                <w:rFonts w:ascii="Times New Roman" w:eastAsia="Calibri" w:hAnsi="Times New Roman" w:cs="Times New Roman"/>
                <w:sz w:val="24"/>
                <w:szCs w:val="24"/>
                <w:lang w:val="ro-RO"/>
              </w:rPr>
              <w:t>- ischemie coroidal</w:t>
            </w:r>
            <w:r w:rsidR="00254E04">
              <w:rPr>
                <w:rFonts w:ascii="Times New Roman" w:eastAsia="Calibri" w:hAnsi="Times New Roman" w:cs="Times New Roman"/>
                <w:sz w:val="24"/>
                <w:szCs w:val="24"/>
                <w:lang w:val="ro-RO"/>
              </w:rPr>
              <w:t>ă</w:t>
            </w:r>
          </w:p>
          <w:p w14:paraId="5CA3EAF8" w14:textId="77777777" w:rsidR="00786BBF" w:rsidRPr="00786BBF" w:rsidRDefault="00786BBF" w:rsidP="008F522C">
            <w:pPr>
              <w:autoSpaceDE w:val="0"/>
              <w:autoSpaceDN w:val="0"/>
              <w:adjustRightInd w:val="0"/>
              <w:spacing w:line="276" w:lineRule="auto"/>
              <w:jc w:val="center"/>
              <w:rPr>
                <w:rFonts w:ascii="Times New Roman" w:eastAsia="Calibri" w:hAnsi="Times New Roman" w:cs="Times New Roman"/>
                <w:sz w:val="24"/>
                <w:szCs w:val="24"/>
                <w:lang w:val="ro-RO"/>
              </w:rPr>
            </w:pPr>
          </w:p>
        </w:tc>
      </w:tr>
      <w:tr w:rsidR="00786BBF" w:rsidRPr="00786BBF" w14:paraId="4F1A0A06" w14:textId="77777777" w:rsidTr="007277BF">
        <w:tc>
          <w:tcPr>
            <w:tcW w:w="4508" w:type="dxa"/>
          </w:tcPr>
          <w:p w14:paraId="41843980" w14:textId="77777777" w:rsidR="00786BBF" w:rsidRPr="00786BBF" w:rsidRDefault="00786BBF" w:rsidP="00786BBF">
            <w:pPr>
              <w:autoSpaceDE w:val="0"/>
              <w:autoSpaceDN w:val="0"/>
              <w:adjustRightInd w:val="0"/>
              <w:spacing w:line="276" w:lineRule="auto"/>
              <w:jc w:val="both"/>
              <w:rPr>
                <w:rFonts w:ascii="Times New Roman" w:eastAsia="Calibri" w:hAnsi="Times New Roman" w:cs="Times New Roman"/>
                <w:color w:val="231F20"/>
                <w:sz w:val="24"/>
                <w:szCs w:val="24"/>
                <w:lang w:val="ro-RO"/>
              </w:rPr>
            </w:pPr>
            <w:r w:rsidRPr="00786BBF">
              <w:rPr>
                <w:rFonts w:ascii="Times New Roman" w:eastAsia="Calibri" w:hAnsi="Times New Roman" w:cs="Times New Roman"/>
                <w:color w:val="231F20"/>
                <w:sz w:val="24"/>
                <w:szCs w:val="24"/>
                <w:lang w:val="ro-RO"/>
              </w:rPr>
              <w:t>Claudicația membrelor</w:t>
            </w:r>
          </w:p>
        </w:tc>
        <w:tc>
          <w:tcPr>
            <w:tcW w:w="4508" w:type="dxa"/>
          </w:tcPr>
          <w:p w14:paraId="089ECC8E" w14:textId="77777777" w:rsidR="00786BBF" w:rsidRPr="00786BBF" w:rsidRDefault="00786BBF" w:rsidP="00786BBF">
            <w:pPr>
              <w:autoSpaceDE w:val="0"/>
              <w:autoSpaceDN w:val="0"/>
              <w:adjustRightInd w:val="0"/>
              <w:spacing w:line="276" w:lineRule="auto"/>
              <w:jc w:val="both"/>
              <w:rPr>
                <w:rFonts w:ascii="Times New Roman" w:eastAsia="Calibri" w:hAnsi="Times New Roman" w:cs="Times New Roman"/>
                <w:color w:val="231F20"/>
                <w:sz w:val="24"/>
                <w:szCs w:val="24"/>
                <w:lang w:val="ro-RO"/>
              </w:rPr>
            </w:pPr>
          </w:p>
        </w:tc>
      </w:tr>
      <w:bookmarkEnd w:id="4"/>
    </w:tbl>
    <w:p w14:paraId="34FF68FD" w14:textId="77777777" w:rsidR="00786BBF" w:rsidRPr="00786BBF" w:rsidRDefault="00786BBF" w:rsidP="00786BBF">
      <w:pPr>
        <w:autoSpaceDE w:val="0"/>
        <w:autoSpaceDN w:val="0"/>
        <w:adjustRightInd w:val="0"/>
        <w:spacing w:after="0" w:line="276" w:lineRule="auto"/>
        <w:ind w:firstLine="708"/>
        <w:jc w:val="both"/>
        <w:rPr>
          <w:rFonts w:ascii="Times New Roman" w:eastAsia="Calibri" w:hAnsi="Times New Roman" w:cs="Times New Roman"/>
          <w:color w:val="231F20"/>
          <w:sz w:val="24"/>
          <w:szCs w:val="24"/>
          <w:lang w:val="ro-RO"/>
        </w:rPr>
      </w:pPr>
    </w:p>
    <w:p w14:paraId="456B7F76" w14:textId="77777777" w:rsidR="00A822C0" w:rsidRDefault="002652C1" w:rsidP="00227347">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Modificările de laborator sunt destul de limitate, except</w:t>
      </w:r>
      <w:r w:rsidR="006C6A3A">
        <w:rPr>
          <w:rFonts w:ascii="Times New Roman" w:eastAsia="Calibri" w:hAnsi="Times New Roman" w:cs="Times New Roman"/>
          <w:color w:val="231F20"/>
          <w:sz w:val="24"/>
          <w:szCs w:val="24"/>
          <w:lang w:val="ro-RO"/>
        </w:rPr>
        <w:t>ând creșterea semnificativă a markerilor sindromului inflamator. În mod car</w:t>
      </w:r>
      <w:r w:rsidR="009F7F40">
        <w:rPr>
          <w:rFonts w:ascii="Times New Roman" w:eastAsia="Calibri" w:hAnsi="Times New Roman" w:cs="Times New Roman"/>
          <w:color w:val="231F20"/>
          <w:sz w:val="24"/>
          <w:szCs w:val="24"/>
          <w:lang w:val="ro-RO"/>
        </w:rPr>
        <w:t>a</w:t>
      </w:r>
      <w:r w:rsidR="006C6A3A">
        <w:rPr>
          <w:rFonts w:ascii="Times New Roman" w:eastAsia="Calibri" w:hAnsi="Times New Roman" w:cs="Times New Roman"/>
          <w:color w:val="231F20"/>
          <w:sz w:val="24"/>
          <w:szCs w:val="24"/>
          <w:lang w:val="ro-RO"/>
        </w:rPr>
        <w:t>cteristic VSH-ul este crescut peste 50 mm/h,</w:t>
      </w:r>
      <w:r w:rsidR="0016372E">
        <w:rPr>
          <w:rFonts w:ascii="Times New Roman" w:eastAsia="Calibri" w:hAnsi="Times New Roman" w:cs="Times New Roman"/>
          <w:color w:val="231F20"/>
          <w:sz w:val="24"/>
          <w:szCs w:val="24"/>
          <w:lang w:val="ro-RO"/>
        </w:rPr>
        <w:t xml:space="preserve"> v</w:t>
      </w:r>
      <w:r w:rsidR="001E7881" w:rsidRPr="001E7881">
        <w:rPr>
          <w:rFonts w:ascii="Times New Roman" w:eastAsia="Calibri" w:hAnsi="Times New Roman" w:cs="Times New Roman"/>
          <w:color w:val="231F20"/>
          <w:sz w:val="24"/>
          <w:szCs w:val="24"/>
          <w:lang w:val="ro-RO"/>
        </w:rPr>
        <w:t xml:space="preserve">alorile foarte crescute </w:t>
      </w:r>
      <w:r w:rsidR="009F7F40">
        <w:rPr>
          <w:rFonts w:ascii="Times New Roman" w:eastAsia="Calibri" w:hAnsi="Times New Roman" w:cs="Times New Roman"/>
          <w:color w:val="231F20"/>
          <w:sz w:val="24"/>
          <w:szCs w:val="24"/>
          <w:lang w:val="ro-RO"/>
        </w:rPr>
        <w:t xml:space="preserve">se </w:t>
      </w:r>
      <w:r w:rsidR="001E7881" w:rsidRPr="001E7881">
        <w:rPr>
          <w:rFonts w:ascii="Times New Roman" w:eastAsia="Calibri" w:hAnsi="Times New Roman" w:cs="Times New Roman"/>
          <w:color w:val="231F20"/>
          <w:sz w:val="24"/>
          <w:szCs w:val="24"/>
          <w:lang w:val="ro-RO"/>
        </w:rPr>
        <w:t>corelează cu riscul de apariție al evenimentelor ischemice oftalmice.</w:t>
      </w:r>
      <w:r w:rsidR="00A822C0">
        <w:rPr>
          <w:rFonts w:ascii="Times New Roman" w:eastAsia="Calibri" w:hAnsi="Times New Roman" w:cs="Times New Roman"/>
          <w:color w:val="231F20"/>
          <w:sz w:val="24"/>
          <w:szCs w:val="24"/>
          <w:lang w:val="ro-RO"/>
        </w:rPr>
        <w:t xml:space="preserve"> </w:t>
      </w:r>
      <w:r w:rsidR="003273A6">
        <w:rPr>
          <w:rFonts w:ascii="Times New Roman" w:eastAsia="Calibri" w:hAnsi="Times New Roman" w:cs="Times New Roman"/>
          <w:color w:val="231F20"/>
          <w:sz w:val="24"/>
          <w:szCs w:val="24"/>
          <w:lang w:val="ro-RO"/>
        </w:rPr>
        <w:t xml:space="preserve">Proteina C reactivă este </w:t>
      </w:r>
      <w:r w:rsidR="007B3A02">
        <w:rPr>
          <w:rFonts w:ascii="Times New Roman" w:eastAsia="Calibri" w:hAnsi="Times New Roman" w:cs="Times New Roman"/>
          <w:color w:val="231F20"/>
          <w:sz w:val="24"/>
          <w:szCs w:val="24"/>
          <w:lang w:val="ro-RO"/>
        </w:rPr>
        <w:t xml:space="preserve">și ea crescută. </w:t>
      </w:r>
    </w:p>
    <w:p w14:paraId="4805ABA2" w14:textId="7B669E5C" w:rsidR="00B663E8" w:rsidRPr="008F522C" w:rsidRDefault="00147CAD" w:rsidP="0016372E">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8F522C">
        <w:rPr>
          <w:rFonts w:ascii="Times New Roman" w:eastAsia="Times New Roman" w:hAnsi="Times New Roman"/>
          <w:sz w:val="24"/>
          <w:szCs w:val="24"/>
        </w:rPr>
        <w:t>Evaluarea imagistică este obligatorie deoarece poate evidenția atât alterări arteriale precoce, de tip inflamație/edem transmural, cât și modificări luminale tardive (stenoze, ocluzii, dilatații sau anevrisme). Conform recomandărilor EULAR 2023 pentru imagistica vasculitelor de vase mari, ecografia arterelor temporale și axilare este investigația imagistică de primă intenție la pacienții cu suspiciune de arterită cu celule gigante, dacă există expertiză și disponibilitate rapidă</w:t>
      </w:r>
      <w:r w:rsidR="004D18AD">
        <w:rPr>
          <w:rFonts w:ascii="Times New Roman" w:eastAsia="Times New Roman" w:hAnsi="Times New Roman"/>
          <w:sz w:val="24"/>
          <w:szCs w:val="24"/>
        </w:rPr>
        <w:t xml:space="preserve"> (Tabelul 3)</w:t>
      </w:r>
      <w:r w:rsidRPr="008F522C">
        <w:rPr>
          <w:rFonts w:ascii="Times New Roman" w:eastAsia="Times New Roman" w:hAnsi="Times New Roman"/>
          <w:sz w:val="24"/>
          <w:szCs w:val="24"/>
        </w:rPr>
        <w:t xml:space="preserve">. Ca alternative pot fi utilizate IRM sau FDG-PET pentru evaluarea arterelor craniale și extracraniene, iar pentru arterita Takayasu metoda preferată este </w:t>
      </w:r>
      <w:r w:rsidRPr="008F522C">
        <w:rPr>
          <w:rFonts w:ascii="Times New Roman" w:eastAsia="Times New Roman" w:hAnsi="Times New Roman"/>
          <w:sz w:val="24"/>
          <w:szCs w:val="24"/>
        </w:rPr>
        <w:lastRenderedPageBreak/>
        <w:t>IRM. Evaluarea clinică și paraclinică a pacienților se face la 1-3 luni în primul an, la 3-6 luni în cel de-al doilea an și, ulterior, în condiții de remisiune, anual.</w:t>
      </w:r>
    </w:p>
    <w:p w14:paraId="1C96308F" w14:textId="31E8B85A" w:rsidR="00147CAD" w:rsidRPr="004D18AD" w:rsidRDefault="008D6F38" w:rsidP="00147CAD">
      <w:pPr>
        <w:autoSpaceDE w:val="0"/>
        <w:autoSpaceDN w:val="0"/>
        <w:adjustRightInd w:val="0"/>
        <w:spacing w:after="200" w:line="360" w:lineRule="auto"/>
        <w:ind w:firstLine="708"/>
        <w:jc w:val="both"/>
        <w:rPr>
          <w:rFonts w:ascii="Times New Roman" w:eastAsia="Calibri" w:hAnsi="Times New Roman" w:cs="Times New Roman"/>
          <w:i/>
          <w:iCs/>
          <w:color w:val="231F20"/>
          <w:sz w:val="24"/>
          <w:szCs w:val="24"/>
          <w:lang w:val="ro-RO"/>
        </w:rPr>
      </w:pPr>
      <w:r w:rsidRPr="008F522C">
        <w:rPr>
          <w:rFonts w:ascii="Times New Roman" w:eastAsia="Times New Roman" w:hAnsi="Times New Roman"/>
          <w:b/>
          <w:bCs/>
          <w:sz w:val="24"/>
          <w:szCs w:val="24"/>
        </w:rPr>
        <w:t>Tabelul 3.</w:t>
      </w:r>
      <w:r w:rsidRPr="008F522C">
        <w:rPr>
          <w:rFonts w:ascii="Times New Roman" w:eastAsia="Times New Roman" w:hAnsi="Times New Roman"/>
          <w:sz w:val="24"/>
          <w:szCs w:val="24"/>
        </w:rPr>
        <w:t xml:space="preserve"> </w:t>
      </w:r>
      <w:r w:rsidR="00147CAD" w:rsidRPr="008F522C">
        <w:rPr>
          <w:rFonts w:ascii="Times New Roman" w:eastAsia="Times New Roman" w:hAnsi="Times New Roman"/>
          <w:sz w:val="24"/>
          <w:szCs w:val="24"/>
        </w:rPr>
        <w:t xml:space="preserve">Recomandările EULAR pentru utilizarea imagisticii în vasculitele de vas mare, adaptat după </w:t>
      </w:r>
      <w:r w:rsidR="00147CAD" w:rsidRPr="004D18AD">
        <w:rPr>
          <w:rFonts w:ascii="Times New Roman" w:eastAsia="Times New Roman" w:hAnsi="Times New Roman"/>
          <w:i/>
          <w:iCs/>
          <w:sz w:val="24"/>
          <w:szCs w:val="24"/>
        </w:rPr>
        <w:t>Dejaco C, et al., Ann Rheum Dis 2024;83:741-751 (2023 update).</w:t>
      </w:r>
    </w:p>
    <w:tbl>
      <w:tblPr>
        <w:tblW w:w="0" w:type="auto"/>
        <w:jc w:val="center"/>
        <w:tblLook w:val="04A0" w:firstRow="1" w:lastRow="0" w:firstColumn="1" w:lastColumn="0" w:noHBand="0" w:noVBand="1"/>
      </w:tblPr>
      <w:tblGrid>
        <w:gridCol w:w="9010"/>
      </w:tblGrid>
      <w:tr w:rsidR="00D23DD6" w14:paraId="2B51ADEF" w14:textId="77777777">
        <w:trPr>
          <w:jc w:val="center"/>
        </w:trPr>
        <w:tc>
          <w:tcPr>
            <w:tcW w:w="9026" w:type="dxa"/>
            <w:tcBorders>
              <w:top w:val="single" w:sz="6" w:space="0" w:color="999999"/>
              <w:left w:val="single" w:sz="6" w:space="0" w:color="999999"/>
              <w:bottom w:val="single" w:sz="6" w:space="0" w:color="999999"/>
              <w:right w:val="single" w:sz="6" w:space="0" w:color="999999"/>
            </w:tcBorders>
            <w:shd w:val="clear" w:color="auto" w:fill="D9EAF7"/>
          </w:tcPr>
          <w:p w14:paraId="48D19519" w14:textId="77777777" w:rsidR="00D23DD6" w:rsidRDefault="00000000">
            <w:pPr>
              <w:spacing w:after="0" w:line="240" w:lineRule="auto"/>
              <w:jc w:val="center"/>
            </w:pPr>
            <w:r>
              <w:rPr>
                <w:rFonts w:ascii="Times New Roman" w:eastAsia="Times New Roman" w:hAnsi="Times New Roman"/>
                <w:b/>
              </w:rPr>
              <w:t>Principii generale și recomandări EULAR 2023</w:t>
            </w:r>
          </w:p>
        </w:tc>
      </w:tr>
      <w:tr w:rsidR="00D23DD6" w14:paraId="165494AB" w14:textId="77777777">
        <w:trPr>
          <w:jc w:val="center"/>
        </w:trPr>
        <w:tc>
          <w:tcPr>
            <w:tcW w:w="9026" w:type="dxa"/>
            <w:tcBorders>
              <w:top w:val="single" w:sz="6" w:space="0" w:color="999999"/>
              <w:left w:val="single" w:sz="6" w:space="0" w:color="999999"/>
              <w:bottom w:val="single" w:sz="6" w:space="0" w:color="999999"/>
              <w:right w:val="single" w:sz="6" w:space="0" w:color="999999"/>
            </w:tcBorders>
            <w:shd w:val="clear" w:color="auto" w:fill="F2F2F2"/>
          </w:tcPr>
          <w:p w14:paraId="778A7918" w14:textId="77777777" w:rsidR="00D23DD6" w:rsidRDefault="00000000" w:rsidP="004D18AD">
            <w:pPr>
              <w:spacing w:after="0" w:line="240" w:lineRule="auto"/>
              <w:jc w:val="both"/>
            </w:pPr>
            <w:r>
              <w:rPr>
                <w:rFonts w:ascii="Times New Roman" w:eastAsia="Times New Roman" w:hAnsi="Times New Roman"/>
                <w:b/>
              </w:rPr>
              <w:t xml:space="preserve">Principiul 1. </w:t>
            </w:r>
            <w:r>
              <w:rPr>
                <w:rFonts w:ascii="Times New Roman" w:eastAsia="Times New Roman" w:hAnsi="Times New Roman"/>
              </w:rPr>
              <w:t>La pacienții cu suspiciune de arterită cu celule gigante, imagistica precoce este recomandată pentru susținerea diagnosticului clinic, dar nu trebuie să întârzie inițierea tratamentului atunci când acesta este necesar.</w:t>
            </w:r>
          </w:p>
        </w:tc>
      </w:tr>
      <w:tr w:rsidR="00D23DD6" w14:paraId="0ED75134" w14:textId="77777777">
        <w:trPr>
          <w:jc w:val="center"/>
        </w:trPr>
        <w:tc>
          <w:tcPr>
            <w:tcW w:w="9026" w:type="dxa"/>
            <w:tcBorders>
              <w:top w:val="single" w:sz="6" w:space="0" w:color="999999"/>
              <w:left w:val="single" w:sz="6" w:space="0" w:color="999999"/>
              <w:bottom w:val="single" w:sz="6" w:space="0" w:color="999999"/>
              <w:right w:val="single" w:sz="6" w:space="0" w:color="999999"/>
            </w:tcBorders>
            <w:shd w:val="clear" w:color="auto" w:fill="F2F2F2"/>
          </w:tcPr>
          <w:p w14:paraId="45D81CD7" w14:textId="77777777" w:rsidR="00D23DD6" w:rsidRDefault="00000000" w:rsidP="004D18AD">
            <w:pPr>
              <w:spacing w:after="0" w:line="240" w:lineRule="auto"/>
              <w:jc w:val="both"/>
            </w:pPr>
            <w:r>
              <w:rPr>
                <w:rFonts w:ascii="Times New Roman" w:eastAsia="Times New Roman" w:hAnsi="Times New Roman"/>
                <w:b/>
              </w:rPr>
              <w:t xml:space="preserve">Principiul 2. </w:t>
            </w:r>
            <w:r>
              <w:rPr>
                <w:rFonts w:ascii="Times New Roman" w:eastAsia="Times New Roman" w:hAnsi="Times New Roman"/>
              </w:rPr>
              <w:t>Examinarea imagistică trebuie efectuată de personal cu experiență, cu echipament adecvat, proceduri operaționale standardizate și setări corespunzătoare tipului de examinare.</w:t>
            </w:r>
          </w:p>
        </w:tc>
      </w:tr>
      <w:tr w:rsidR="00D23DD6" w14:paraId="0BCE27C9" w14:textId="77777777">
        <w:trPr>
          <w:jc w:val="center"/>
        </w:trPr>
        <w:tc>
          <w:tcPr>
            <w:tcW w:w="9026" w:type="dxa"/>
            <w:tcBorders>
              <w:top w:val="single" w:sz="6" w:space="0" w:color="999999"/>
              <w:left w:val="single" w:sz="6" w:space="0" w:color="999999"/>
              <w:bottom w:val="single" w:sz="6" w:space="0" w:color="999999"/>
              <w:right w:val="single" w:sz="6" w:space="0" w:color="999999"/>
            </w:tcBorders>
            <w:shd w:val="clear" w:color="auto" w:fill="F2F2F2"/>
          </w:tcPr>
          <w:p w14:paraId="7552FD59" w14:textId="77777777" w:rsidR="00D23DD6" w:rsidRDefault="00000000" w:rsidP="004D18AD">
            <w:pPr>
              <w:spacing w:after="0" w:line="240" w:lineRule="auto"/>
              <w:jc w:val="both"/>
            </w:pPr>
            <w:r>
              <w:rPr>
                <w:rFonts w:ascii="Times New Roman" w:eastAsia="Times New Roman" w:hAnsi="Times New Roman"/>
                <w:b/>
              </w:rPr>
              <w:t xml:space="preserve">Principiul 3. </w:t>
            </w:r>
            <w:r>
              <w:rPr>
                <w:rFonts w:ascii="Times New Roman" w:eastAsia="Times New Roman" w:hAnsi="Times New Roman"/>
              </w:rPr>
              <w:t>La pacienții cu probabilitate clinică mare și test imagistic pozitiv, diagnosticul de AGC poate fi stabilit fără biopsie sau explorări imagistice suplimentare. La cei cu probabilitate clinică mică și test imagistic negativ, diagnosticul este improbabil. În situațiile intermediare sau neconcludente sunt necesare teste suplimentare.</w:t>
            </w:r>
          </w:p>
        </w:tc>
      </w:tr>
      <w:tr w:rsidR="00D23DD6" w14:paraId="66B834D7"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7ED90596" w14:textId="77777777" w:rsidR="00D23DD6" w:rsidRDefault="00000000" w:rsidP="004D18AD">
            <w:pPr>
              <w:spacing w:after="0" w:line="240" w:lineRule="auto"/>
              <w:jc w:val="both"/>
            </w:pPr>
            <w:r>
              <w:rPr>
                <w:rFonts w:ascii="Times New Roman" w:eastAsia="Times New Roman" w:hAnsi="Times New Roman"/>
                <w:b/>
              </w:rPr>
              <w:t xml:space="preserve">1. </w:t>
            </w:r>
            <w:r>
              <w:rPr>
                <w:rFonts w:ascii="Times New Roman" w:eastAsia="Times New Roman" w:hAnsi="Times New Roman"/>
              </w:rPr>
              <w:t>Ecografia arterelor temporale și axilare trebuie considerată prima metodă imagistică pentru investigarea modificărilor inflamatorii murale la pacienții cu suspiciune de AGC.</w:t>
            </w:r>
          </w:p>
        </w:tc>
      </w:tr>
      <w:tr w:rsidR="00D23DD6" w14:paraId="1E59FCB9"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43D004EE" w14:textId="77777777" w:rsidR="00D23DD6" w:rsidRDefault="00000000" w:rsidP="004D18AD">
            <w:pPr>
              <w:spacing w:after="0" w:line="240" w:lineRule="auto"/>
              <w:jc w:val="both"/>
            </w:pPr>
            <w:r>
              <w:rPr>
                <w:rFonts w:ascii="Times New Roman" w:eastAsia="Times New Roman" w:hAnsi="Times New Roman"/>
                <w:b/>
              </w:rPr>
              <w:t xml:space="preserve">2. </w:t>
            </w:r>
            <w:r>
              <w:rPr>
                <w:rFonts w:ascii="Times New Roman" w:eastAsia="Times New Roman" w:hAnsi="Times New Roman"/>
              </w:rPr>
              <w:t>Ca alternativă la ecografie, FDG-PET sau IRM pot fi utilizate pentru evaluarea arterelor craniale și extracraniene la pacienții cu suspiciune de AGC.</w:t>
            </w:r>
          </w:p>
        </w:tc>
      </w:tr>
      <w:tr w:rsidR="00D23DD6" w14:paraId="4376C1E1"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7D410C03" w14:textId="77777777" w:rsidR="00D23DD6" w:rsidRDefault="00000000" w:rsidP="004D18AD">
            <w:pPr>
              <w:spacing w:after="0" w:line="240" w:lineRule="auto"/>
              <w:jc w:val="both"/>
            </w:pPr>
            <w:r>
              <w:rPr>
                <w:rFonts w:ascii="Times New Roman" w:eastAsia="Times New Roman" w:hAnsi="Times New Roman"/>
                <w:b/>
              </w:rPr>
              <w:t xml:space="preserve">3. </w:t>
            </w:r>
            <w:r>
              <w:rPr>
                <w:rFonts w:ascii="Times New Roman" w:eastAsia="Times New Roman" w:hAnsi="Times New Roman"/>
              </w:rPr>
              <w:t>FDG-PET, iar alternativ IRM sau CT, pot fi utilizate pentru detectarea inflamației murale sau a modificărilor luminale ale arterelor extracraniene la pacienții cu suspiciune de AGC.</w:t>
            </w:r>
          </w:p>
        </w:tc>
      </w:tr>
      <w:tr w:rsidR="00D23DD6" w14:paraId="09E0A356"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3DF8B911" w14:textId="77777777" w:rsidR="00D23DD6" w:rsidRDefault="00000000" w:rsidP="004D18AD">
            <w:pPr>
              <w:spacing w:after="0" w:line="240" w:lineRule="auto"/>
              <w:jc w:val="both"/>
            </w:pPr>
            <w:r>
              <w:rPr>
                <w:rFonts w:ascii="Times New Roman" w:eastAsia="Times New Roman" w:hAnsi="Times New Roman"/>
                <w:b/>
              </w:rPr>
              <w:t xml:space="preserve">4. </w:t>
            </w:r>
            <w:r>
              <w:rPr>
                <w:rFonts w:ascii="Times New Roman" w:eastAsia="Times New Roman" w:hAnsi="Times New Roman"/>
              </w:rPr>
              <w:t>La pacienții cu suspiciune de arterită Takayasu, IRM este metoda imagistică de primă intenție pentru evidențierea inflamației murale și/sau a modificărilor luminale.</w:t>
            </w:r>
          </w:p>
        </w:tc>
      </w:tr>
      <w:tr w:rsidR="00D23DD6" w14:paraId="762420E0"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09E6CBC6" w14:textId="77777777" w:rsidR="00D23DD6" w:rsidRDefault="00000000" w:rsidP="004D18AD">
            <w:pPr>
              <w:spacing w:after="0" w:line="240" w:lineRule="auto"/>
              <w:jc w:val="both"/>
            </w:pPr>
            <w:r>
              <w:rPr>
                <w:rFonts w:ascii="Times New Roman" w:eastAsia="Times New Roman" w:hAnsi="Times New Roman"/>
                <w:b/>
              </w:rPr>
              <w:t xml:space="preserve">5. </w:t>
            </w:r>
            <w:r>
              <w:rPr>
                <w:rFonts w:ascii="Times New Roman" w:eastAsia="Times New Roman" w:hAnsi="Times New Roman"/>
              </w:rPr>
              <w:t>FDG-PET, CT și/sau ecografia pot fi utilizate ca metode imagistice alternative la pacienții cu suspiciune de arterită Takayasu, în funcție de disponibilitate, expertiză și teritoriul vascular evaluat.</w:t>
            </w:r>
          </w:p>
        </w:tc>
      </w:tr>
      <w:tr w:rsidR="00D23DD6" w14:paraId="314EDB00"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630E292F" w14:textId="77777777" w:rsidR="00D23DD6" w:rsidRDefault="00000000" w:rsidP="004D18AD">
            <w:pPr>
              <w:spacing w:after="0" w:line="240" w:lineRule="auto"/>
              <w:jc w:val="both"/>
            </w:pPr>
            <w:r>
              <w:rPr>
                <w:rFonts w:ascii="Times New Roman" w:eastAsia="Times New Roman" w:hAnsi="Times New Roman"/>
                <w:b/>
              </w:rPr>
              <w:t xml:space="preserve">6. </w:t>
            </w:r>
            <w:r>
              <w:rPr>
                <w:rFonts w:ascii="Times New Roman" w:eastAsia="Times New Roman" w:hAnsi="Times New Roman"/>
              </w:rPr>
              <w:t>Angiografia convențională nu este recomandată de rutină pentru diagnosticul AGC sau AT, deoarece a fost în mare parte înlocuită de ecografie, IRM, CT și FDG-PET; rămâne utilă în principal când se planifică o intervenție endovasculară.</w:t>
            </w:r>
          </w:p>
        </w:tc>
      </w:tr>
      <w:tr w:rsidR="00D23DD6" w14:paraId="260F26AC"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39344A32" w14:textId="77777777" w:rsidR="00D23DD6" w:rsidRDefault="00000000" w:rsidP="004D18AD">
            <w:pPr>
              <w:spacing w:after="0" w:line="240" w:lineRule="auto"/>
              <w:jc w:val="both"/>
            </w:pPr>
            <w:r>
              <w:rPr>
                <w:rFonts w:ascii="Times New Roman" w:eastAsia="Times New Roman" w:hAnsi="Times New Roman"/>
                <w:b/>
              </w:rPr>
              <w:t xml:space="preserve">7. </w:t>
            </w:r>
            <w:r>
              <w:rPr>
                <w:rFonts w:ascii="Times New Roman" w:eastAsia="Times New Roman" w:hAnsi="Times New Roman"/>
              </w:rPr>
              <w:t>La pacienții cu vasculită de vase mari la care este suspectată o recădere, ecografia, FDG-PET sau IRM pot fi utile pentru confirmarea sau infirmarea activității bolii, mai ales când markerii inflamatori sunt neinformativi. Imagistica nu este recomandată de rutină la pacienții în remisiune clinică și biologică.</w:t>
            </w:r>
          </w:p>
        </w:tc>
      </w:tr>
      <w:tr w:rsidR="00D23DD6" w14:paraId="1E641CDF" w14:textId="77777777">
        <w:trPr>
          <w:jc w:val="center"/>
        </w:trPr>
        <w:tc>
          <w:tcPr>
            <w:tcW w:w="9026" w:type="dxa"/>
            <w:tcBorders>
              <w:top w:val="single" w:sz="6" w:space="0" w:color="999999"/>
              <w:left w:val="single" w:sz="6" w:space="0" w:color="999999"/>
              <w:bottom w:val="single" w:sz="6" w:space="0" w:color="999999"/>
              <w:right w:val="single" w:sz="6" w:space="0" w:color="999999"/>
            </w:tcBorders>
          </w:tcPr>
          <w:p w14:paraId="2E4B6B67" w14:textId="77777777" w:rsidR="00D23DD6" w:rsidRDefault="00000000" w:rsidP="004D18AD">
            <w:pPr>
              <w:spacing w:after="0" w:line="240" w:lineRule="auto"/>
              <w:jc w:val="both"/>
            </w:pPr>
            <w:r>
              <w:rPr>
                <w:rFonts w:ascii="Times New Roman" w:eastAsia="Times New Roman" w:hAnsi="Times New Roman"/>
                <w:b/>
              </w:rPr>
              <w:t xml:space="preserve">8. </w:t>
            </w:r>
            <w:r>
              <w:rPr>
                <w:rFonts w:ascii="Times New Roman" w:eastAsia="Times New Roman" w:hAnsi="Times New Roman"/>
              </w:rPr>
              <w:t>Pentru monitorizarea pe termen lung a leziunilor structurale, în special în zonele cu inflamație vasculară anterioară, pot fi utilizate angio-IRM, angio-CT sau ecografia, cu alegerea metodei și a frecvenței de monitorizare individualizată.</w:t>
            </w:r>
          </w:p>
        </w:tc>
      </w:tr>
    </w:tbl>
    <w:p w14:paraId="01B4514F" w14:textId="77777777" w:rsidR="00147CAD" w:rsidRDefault="00147CAD" w:rsidP="00147CAD">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p>
    <w:p w14:paraId="7DA0034F" w14:textId="77777777" w:rsidR="000A352C" w:rsidRPr="008D6F38" w:rsidRDefault="00A20EE7" w:rsidP="00134D81">
      <w:pPr>
        <w:autoSpaceDE w:val="0"/>
        <w:autoSpaceDN w:val="0"/>
        <w:adjustRightInd w:val="0"/>
        <w:spacing w:after="200" w:line="360" w:lineRule="auto"/>
        <w:ind w:firstLine="708"/>
        <w:jc w:val="both"/>
        <w:rPr>
          <w:rFonts w:ascii="Times New Roman" w:eastAsia="Calibri" w:hAnsi="Times New Roman" w:cs="Times New Roman"/>
          <w:color w:val="231F20"/>
          <w:sz w:val="28"/>
          <w:szCs w:val="28"/>
          <w:lang w:val="ro-RO"/>
        </w:rPr>
      </w:pPr>
      <w:r w:rsidRPr="008D6F38">
        <w:rPr>
          <w:rFonts w:ascii="Times New Roman" w:hAnsi="Times New Roman" w:cs="Times New Roman"/>
          <w:sz w:val="24"/>
          <w:szCs w:val="24"/>
        </w:rPr>
        <w:t xml:space="preserve">Diagnosticul pozitiv se stabilește pe baza suspiciunii clinice înalte, asociat cu manifestările de laborator și imagistice. De asemenea, biopsia de arteră temporală poate fi utilă pentru stabilirea diagnosticului de certitudine al AGC. </w:t>
      </w:r>
    </w:p>
    <w:p w14:paraId="260BF193" w14:textId="08523300" w:rsidR="00147CAD" w:rsidRPr="004D18AD" w:rsidRDefault="00147CAD" w:rsidP="004D18AD">
      <w:pPr>
        <w:autoSpaceDE w:val="0"/>
        <w:autoSpaceDN w:val="0"/>
        <w:adjustRightInd w:val="0"/>
        <w:spacing w:after="200" w:line="360" w:lineRule="auto"/>
        <w:ind w:firstLine="708"/>
        <w:jc w:val="both"/>
        <w:rPr>
          <w:rFonts w:ascii="Times New Roman" w:eastAsia="Calibri" w:hAnsi="Times New Roman" w:cs="Times New Roman"/>
          <w:color w:val="231F20"/>
          <w:sz w:val="24"/>
          <w:szCs w:val="24"/>
          <w:vertAlign w:val="superscript"/>
          <w:lang w:val="ro-RO"/>
        </w:rPr>
      </w:pPr>
      <w:r w:rsidRPr="00147CAD">
        <w:rPr>
          <w:rFonts w:ascii="Times New Roman" w:eastAsia="Calibri" w:hAnsi="Times New Roman" w:cs="Times New Roman"/>
          <w:color w:val="231F20"/>
          <w:sz w:val="24"/>
          <w:szCs w:val="24"/>
          <w:lang w:val="ro-RO"/>
        </w:rPr>
        <w:t xml:space="preserve">Criteriile de clasificare </w:t>
      </w:r>
      <w:r w:rsidR="00134D81">
        <w:rPr>
          <w:rFonts w:ascii="Times New Roman" w:eastAsia="Calibri" w:hAnsi="Times New Roman" w:cs="Times New Roman"/>
          <w:color w:val="231F20"/>
          <w:sz w:val="24"/>
          <w:szCs w:val="24"/>
          <w:lang w:val="ro-RO"/>
        </w:rPr>
        <w:t>ACR/EULAR 2022</w:t>
      </w:r>
      <w:r w:rsidR="006A63FA">
        <w:rPr>
          <w:rFonts w:ascii="Times New Roman" w:eastAsia="Calibri" w:hAnsi="Times New Roman" w:cs="Times New Roman"/>
          <w:color w:val="231F20"/>
          <w:sz w:val="24"/>
          <w:szCs w:val="24"/>
          <w:lang w:val="ro-RO"/>
        </w:rPr>
        <w:t xml:space="preserve"> pentru arterita giganto-celulară</w:t>
      </w:r>
      <w:r w:rsidR="00DA3004">
        <w:rPr>
          <w:rFonts w:ascii="Times New Roman" w:eastAsia="Calibri" w:hAnsi="Times New Roman" w:cs="Times New Roman"/>
          <w:color w:val="231F20"/>
          <w:sz w:val="24"/>
          <w:szCs w:val="24"/>
          <w:lang w:val="ro-RO"/>
        </w:rPr>
        <w:t xml:space="preserve"> adaptat după </w:t>
      </w:r>
      <w:r w:rsidR="00DA3004" w:rsidRPr="001F3E57">
        <w:rPr>
          <w:rFonts w:ascii="Times New Roman" w:eastAsia="Calibri" w:hAnsi="Times New Roman" w:cs="Times New Roman"/>
          <w:i/>
          <w:iCs/>
          <w:color w:val="231F20"/>
          <w:sz w:val="24"/>
          <w:szCs w:val="24"/>
          <w:lang w:val="ro-RO"/>
        </w:rPr>
        <w:t>Ponte et al, Arthritis Rheumatol. 2022</w:t>
      </w:r>
      <w:r w:rsidR="004D18AD">
        <w:rPr>
          <w:rFonts w:ascii="Times New Roman" w:eastAsia="Calibri" w:hAnsi="Times New Roman" w:cs="Times New Roman"/>
          <w:i/>
          <w:iCs/>
          <w:color w:val="231F20"/>
          <w:sz w:val="24"/>
          <w:szCs w:val="24"/>
          <w:lang w:val="ro-RO"/>
        </w:rPr>
        <w:t xml:space="preserve"> </w:t>
      </w:r>
      <w:r w:rsidR="004D18AD" w:rsidRPr="004D18AD">
        <w:rPr>
          <w:rFonts w:ascii="Times New Roman" w:eastAsia="Calibri" w:hAnsi="Times New Roman" w:cs="Times New Roman"/>
          <w:color w:val="231F20"/>
          <w:sz w:val="24"/>
          <w:szCs w:val="24"/>
          <w:lang w:val="ro-RO"/>
        </w:rPr>
        <w:t>se găsesc in Tabelul 4.</w:t>
      </w:r>
      <w:bookmarkStart w:id="5" w:name="_Hlk133863501"/>
      <w:r w:rsidR="004D18AD">
        <w:rPr>
          <w:rFonts w:ascii="Times New Roman" w:eastAsia="Calibri" w:hAnsi="Times New Roman" w:cs="Times New Roman"/>
          <w:color w:val="231F20"/>
          <w:sz w:val="24"/>
          <w:szCs w:val="24"/>
          <w:vertAlign w:val="superscript"/>
          <w:lang w:val="ro-RO"/>
        </w:rPr>
        <w:t xml:space="preserve"> </w:t>
      </w:r>
      <w:r w:rsidR="00D75243" w:rsidRPr="004D18AD">
        <w:rPr>
          <w:rFonts w:ascii="Times New Roman" w:eastAsia="Calibri" w:hAnsi="Times New Roman" w:cs="Times New Roman"/>
          <w:color w:val="231F20"/>
          <w:sz w:val="24"/>
          <w:szCs w:val="24"/>
          <w:lang w:val="ro-RO"/>
        </w:rPr>
        <w:t>Aspecte</w:t>
      </w:r>
      <w:r w:rsidR="004D18AD" w:rsidRPr="004D18AD">
        <w:rPr>
          <w:rFonts w:ascii="Times New Roman" w:eastAsia="Calibri" w:hAnsi="Times New Roman" w:cs="Times New Roman"/>
          <w:color w:val="231F20"/>
          <w:sz w:val="24"/>
          <w:szCs w:val="24"/>
          <w:lang w:val="ro-RO"/>
        </w:rPr>
        <w:t>le</w:t>
      </w:r>
      <w:r w:rsidR="00D75243" w:rsidRPr="004D18AD">
        <w:rPr>
          <w:rFonts w:ascii="Times New Roman" w:eastAsia="Calibri" w:hAnsi="Times New Roman" w:cs="Times New Roman"/>
          <w:color w:val="231F20"/>
          <w:sz w:val="24"/>
          <w:szCs w:val="24"/>
          <w:lang w:val="ro-RO"/>
        </w:rPr>
        <w:t xml:space="preserve"> de </w:t>
      </w:r>
      <w:r w:rsidR="000F2A61" w:rsidRPr="004D18AD">
        <w:rPr>
          <w:rFonts w:ascii="Times New Roman" w:eastAsia="Calibri" w:hAnsi="Times New Roman" w:cs="Times New Roman"/>
          <w:color w:val="231F20"/>
          <w:sz w:val="24"/>
          <w:szCs w:val="24"/>
          <w:lang w:val="ro-RO"/>
        </w:rPr>
        <w:t>care trebuie ținut cont</w:t>
      </w:r>
      <w:r w:rsidR="00D75243" w:rsidRPr="004D18AD">
        <w:rPr>
          <w:rFonts w:ascii="Times New Roman" w:eastAsia="Calibri" w:hAnsi="Times New Roman" w:cs="Times New Roman"/>
          <w:color w:val="231F20"/>
          <w:sz w:val="24"/>
          <w:szCs w:val="24"/>
          <w:lang w:val="ro-RO"/>
        </w:rPr>
        <w:t xml:space="preserve"> la aplicarea criteriilor</w:t>
      </w:r>
      <w:r w:rsidR="004D18AD" w:rsidRPr="004D18AD">
        <w:rPr>
          <w:rFonts w:ascii="Times New Roman" w:eastAsia="Calibri" w:hAnsi="Times New Roman" w:cs="Times New Roman"/>
          <w:color w:val="231F20"/>
          <w:sz w:val="24"/>
          <w:szCs w:val="24"/>
          <w:lang w:val="ro-RO"/>
        </w:rPr>
        <w:t xml:space="preserve"> sunt:</w:t>
      </w:r>
    </w:p>
    <w:p w14:paraId="333F5092" w14:textId="547B420B" w:rsidR="00D75243" w:rsidRDefault="002F0533" w:rsidP="00D75243">
      <w:pPr>
        <w:autoSpaceDE w:val="0"/>
        <w:autoSpaceDN w:val="0"/>
        <w:adjustRightInd w:val="0"/>
        <w:spacing w:after="200" w:line="360" w:lineRule="auto"/>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lastRenderedPageBreak/>
        <w:t>- aceste criterii trebuie aplicate pentru a clasifica pacientul ca având arterită giganto-celulară atunci când diagnosticul de vasculită de vase mari sau medii a fost stabilit</w:t>
      </w:r>
      <w:r w:rsidR="004D18AD">
        <w:rPr>
          <w:rFonts w:ascii="Times New Roman" w:eastAsia="Calibri" w:hAnsi="Times New Roman" w:cs="Times New Roman"/>
          <w:color w:val="231F20"/>
          <w:sz w:val="24"/>
          <w:szCs w:val="24"/>
          <w:lang w:val="ro-RO"/>
        </w:rPr>
        <w:t>;</w:t>
      </w:r>
    </w:p>
    <w:p w14:paraId="1F02C569" w14:textId="17A17EEF" w:rsidR="00502E35" w:rsidRDefault="00502E35" w:rsidP="00D75243">
      <w:pPr>
        <w:autoSpaceDE w:val="0"/>
        <w:autoSpaceDN w:val="0"/>
        <w:adjustRightInd w:val="0"/>
        <w:spacing w:after="200" w:line="360" w:lineRule="auto"/>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 anterior aplicării acestor criter</w:t>
      </w:r>
      <w:r w:rsidR="002F7BCA">
        <w:rPr>
          <w:rFonts w:ascii="Times New Roman" w:eastAsia="Calibri" w:hAnsi="Times New Roman" w:cs="Times New Roman"/>
          <w:color w:val="231F20"/>
          <w:sz w:val="24"/>
          <w:szCs w:val="24"/>
          <w:lang w:val="ro-RO"/>
        </w:rPr>
        <w:t>ii trebuie excluse cauze alternative care pot mima o vasculită</w:t>
      </w:r>
      <w:r w:rsidR="004D18AD">
        <w:rPr>
          <w:rFonts w:ascii="Times New Roman" w:eastAsia="Calibri" w:hAnsi="Times New Roman" w:cs="Times New Roman"/>
          <w:color w:val="231F20"/>
          <w:sz w:val="24"/>
          <w:szCs w:val="24"/>
          <w:lang w:val="ro-RO"/>
        </w:rPr>
        <w:t>.</w:t>
      </w:r>
    </w:p>
    <w:p w14:paraId="485C14DA" w14:textId="77777777" w:rsidR="00514D83" w:rsidRPr="00B93ABC" w:rsidRDefault="000F09D1" w:rsidP="00905730">
      <w:pPr>
        <w:autoSpaceDE w:val="0"/>
        <w:autoSpaceDN w:val="0"/>
        <w:adjustRightInd w:val="0"/>
        <w:spacing w:after="200" w:line="360" w:lineRule="auto"/>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 xml:space="preserve">Criteriile de clasificare sunt îndeplinite atunci când scorul obținut este </w:t>
      </w:r>
      <w:r>
        <w:rPr>
          <w:rFonts w:ascii="Calibri" w:eastAsia="Calibri" w:hAnsi="Calibri" w:cs="Calibri"/>
          <w:color w:val="231F20"/>
          <w:sz w:val="24"/>
          <w:szCs w:val="24"/>
          <w:lang w:val="ro-RO"/>
        </w:rPr>
        <w:t>≥</w:t>
      </w:r>
      <w:r>
        <w:rPr>
          <w:rFonts w:ascii="Times New Roman" w:eastAsia="Calibri" w:hAnsi="Times New Roman" w:cs="Times New Roman"/>
          <w:color w:val="231F20"/>
          <w:sz w:val="24"/>
          <w:szCs w:val="24"/>
          <w:lang w:val="ro-RO"/>
        </w:rPr>
        <w:t xml:space="preserve"> 6 puncte</w:t>
      </w:r>
      <w:r w:rsidR="00EC5467">
        <w:rPr>
          <w:rFonts w:ascii="Times New Roman" w:eastAsia="Calibri" w:hAnsi="Times New Roman" w:cs="Times New Roman"/>
          <w:color w:val="231F20"/>
          <w:sz w:val="24"/>
          <w:szCs w:val="24"/>
          <w:lang w:val="ro-RO"/>
        </w:rPr>
        <w:t xml:space="preserve">. </w:t>
      </w:r>
    </w:p>
    <w:bookmarkEnd w:id="5"/>
    <w:p w14:paraId="0F98C285" w14:textId="6023D8AC" w:rsidR="00514D83" w:rsidRPr="004D18AD" w:rsidRDefault="004D18AD" w:rsidP="004D18AD">
      <w:pPr>
        <w:autoSpaceDE w:val="0"/>
        <w:autoSpaceDN w:val="0"/>
        <w:adjustRightInd w:val="0"/>
        <w:spacing w:after="200" w:line="360" w:lineRule="auto"/>
        <w:ind w:firstLine="708"/>
        <w:jc w:val="both"/>
        <w:rPr>
          <w:rFonts w:ascii="Times New Roman" w:eastAsia="Calibri" w:hAnsi="Times New Roman" w:cs="Times New Roman"/>
          <w:color w:val="231F20"/>
          <w:sz w:val="24"/>
          <w:szCs w:val="24"/>
          <w:vertAlign w:val="superscript"/>
          <w:lang w:val="ro-RO"/>
        </w:rPr>
      </w:pPr>
      <w:r w:rsidRPr="00147CAD">
        <w:rPr>
          <w:rFonts w:ascii="Times New Roman" w:eastAsia="Calibri" w:hAnsi="Times New Roman" w:cs="Times New Roman"/>
          <w:b/>
          <w:bCs/>
          <w:color w:val="231F20"/>
          <w:sz w:val="24"/>
          <w:szCs w:val="24"/>
          <w:lang w:val="ro-RO"/>
        </w:rPr>
        <w:t>Tabelul</w:t>
      </w:r>
      <w:r>
        <w:rPr>
          <w:rFonts w:ascii="Times New Roman" w:eastAsia="Calibri" w:hAnsi="Times New Roman" w:cs="Times New Roman"/>
          <w:b/>
          <w:bCs/>
          <w:color w:val="231F20"/>
          <w:sz w:val="24"/>
          <w:szCs w:val="24"/>
          <w:lang w:val="ro-RO"/>
        </w:rPr>
        <w:t xml:space="preserve"> 4</w:t>
      </w:r>
      <w:r w:rsidRPr="00147CAD">
        <w:rPr>
          <w:rFonts w:ascii="Times New Roman" w:eastAsia="Calibri" w:hAnsi="Times New Roman" w:cs="Times New Roman"/>
          <w:b/>
          <w:bCs/>
          <w:color w:val="231F20"/>
          <w:sz w:val="24"/>
          <w:szCs w:val="24"/>
          <w:lang w:val="ro-RO"/>
        </w:rPr>
        <w:t>.</w:t>
      </w:r>
      <w:r w:rsidRPr="00147CAD">
        <w:rPr>
          <w:rFonts w:ascii="Times New Roman" w:eastAsia="Calibri" w:hAnsi="Times New Roman" w:cs="Times New Roman"/>
          <w:color w:val="231F20"/>
          <w:sz w:val="24"/>
          <w:szCs w:val="24"/>
          <w:lang w:val="ro-RO"/>
        </w:rPr>
        <w:t xml:space="preserve"> Criteriile de clasificare </w:t>
      </w:r>
      <w:r>
        <w:rPr>
          <w:rFonts w:ascii="Times New Roman" w:eastAsia="Calibri" w:hAnsi="Times New Roman" w:cs="Times New Roman"/>
          <w:color w:val="231F20"/>
          <w:sz w:val="24"/>
          <w:szCs w:val="24"/>
          <w:lang w:val="ro-RO"/>
        </w:rPr>
        <w:t xml:space="preserve">ACR/EULAR 2022 pentru arterita giganto-celulară adaptat după </w:t>
      </w:r>
      <w:r w:rsidRPr="001F3E57">
        <w:rPr>
          <w:rFonts w:ascii="Times New Roman" w:eastAsia="Calibri" w:hAnsi="Times New Roman" w:cs="Times New Roman"/>
          <w:i/>
          <w:iCs/>
          <w:color w:val="231F20"/>
          <w:sz w:val="24"/>
          <w:szCs w:val="24"/>
          <w:lang w:val="ro-RO"/>
        </w:rPr>
        <w:t>Ponte et al, Arthritis Rheumatol. 2022</w:t>
      </w:r>
    </w:p>
    <w:tbl>
      <w:tblPr>
        <w:tblStyle w:val="TableGrid"/>
        <w:tblW w:w="0" w:type="auto"/>
        <w:tblLook w:val="04A0" w:firstRow="1" w:lastRow="0" w:firstColumn="1" w:lastColumn="0" w:noHBand="0" w:noVBand="1"/>
      </w:tblPr>
      <w:tblGrid>
        <w:gridCol w:w="8217"/>
      </w:tblGrid>
      <w:tr w:rsidR="006C1D03" w:rsidRPr="00147CAD" w14:paraId="00B3EF4A" w14:textId="77777777" w:rsidTr="007D129E">
        <w:tc>
          <w:tcPr>
            <w:tcW w:w="8217" w:type="dxa"/>
          </w:tcPr>
          <w:p w14:paraId="726B1B31" w14:textId="77777777" w:rsidR="006C1D03" w:rsidRDefault="006C1D03" w:rsidP="007D129E">
            <w:pPr>
              <w:autoSpaceDE w:val="0"/>
              <w:autoSpaceDN w:val="0"/>
              <w:adjustRightInd w:val="0"/>
              <w:spacing w:after="200" w:line="360" w:lineRule="auto"/>
              <w:jc w:val="both"/>
              <w:rPr>
                <w:rFonts w:ascii="Times New Roman" w:eastAsia="Calibri" w:hAnsi="Times New Roman" w:cs="Times New Roman"/>
                <w:b/>
                <w:bCs/>
                <w:color w:val="231F20"/>
                <w:sz w:val="24"/>
                <w:szCs w:val="24"/>
                <w:lang w:val="ro-RO"/>
              </w:rPr>
            </w:pPr>
            <w:bookmarkStart w:id="6" w:name="_Hlk133863330"/>
            <w:r>
              <w:rPr>
                <w:rFonts w:ascii="Times New Roman" w:eastAsia="Calibri" w:hAnsi="Times New Roman" w:cs="Times New Roman"/>
                <w:b/>
                <w:bCs/>
                <w:color w:val="231F20"/>
                <w:sz w:val="24"/>
                <w:szCs w:val="24"/>
                <w:lang w:val="ro-RO"/>
              </w:rPr>
              <w:t>CERINȚĂ OBLIGATORIE</w:t>
            </w:r>
          </w:p>
          <w:p w14:paraId="11FF0D75" w14:textId="77777777" w:rsidR="006C1D03" w:rsidRPr="00147CAD" w:rsidRDefault="006C1D03" w:rsidP="007D129E">
            <w:pPr>
              <w:autoSpaceDE w:val="0"/>
              <w:autoSpaceDN w:val="0"/>
              <w:adjustRightInd w:val="0"/>
              <w:spacing w:after="200" w:line="360" w:lineRule="auto"/>
              <w:jc w:val="both"/>
              <w:rPr>
                <w:rFonts w:ascii="Times New Roman" w:eastAsia="Calibri" w:hAnsi="Times New Roman" w:cs="Times New Roman"/>
                <w:color w:val="231F20"/>
                <w:sz w:val="24"/>
                <w:szCs w:val="24"/>
                <w:lang w:val="ro-RO"/>
              </w:rPr>
            </w:pPr>
            <w:r>
              <w:rPr>
                <w:rFonts w:ascii="Times New Roman" w:eastAsia="Calibri" w:hAnsi="Times New Roman" w:cs="Times New Roman"/>
                <w:b/>
                <w:bCs/>
                <w:color w:val="231F20"/>
                <w:sz w:val="24"/>
                <w:szCs w:val="24"/>
                <w:lang w:val="ro-RO"/>
              </w:rPr>
              <w:t xml:space="preserve">- vârsta </w:t>
            </w:r>
            <w:r>
              <w:rPr>
                <w:rFonts w:ascii="Calibri" w:eastAsia="Calibri" w:hAnsi="Calibri" w:cs="Calibri"/>
                <w:b/>
                <w:bCs/>
                <w:color w:val="231F20"/>
                <w:sz w:val="24"/>
                <w:szCs w:val="24"/>
                <w:lang w:val="ro-RO"/>
              </w:rPr>
              <w:t>≥</w:t>
            </w:r>
            <w:r>
              <w:rPr>
                <w:rFonts w:ascii="Times New Roman" w:eastAsia="Calibri" w:hAnsi="Times New Roman" w:cs="Times New Roman"/>
                <w:b/>
                <w:bCs/>
                <w:color w:val="231F20"/>
                <w:sz w:val="24"/>
                <w:szCs w:val="24"/>
                <w:lang w:val="ro-RO"/>
              </w:rPr>
              <w:t xml:space="preserve"> 50 de ani la momentul diagnosticului</w:t>
            </w:r>
          </w:p>
        </w:tc>
      </w:tr>
      <w:tr w:rsidR="006C1D03" w:rsidRPr="00147CAD" w14:paraId="3CC84EEA" w14:textId="77777777" w:rsidTr="007D129E">
        <w:tc>
          <w:tcPr>
            <w:tcW w:w="8217" w:type="dxa"/>
          </w:tcPr>
          <w:p w14:paraId="11EF9CB0" w14:textId="77777777" w:rsidR="006C1D03" w:rsidRPr="00B803B5" w:rsidRDefault="006C1D03" w:rsidP="00147CAD">
            <w:pPr>
              <w:autoSpaceDE w:val="0"/>
              <w:autoSpaceDN w:val="0"/>
              <w:adjustRightInd w:val="0"/>
              <w:spacing w:after="200" w:line="360" w:lineRule="auto"/>
              <w:jc w:val="both"/>
              <w:rPr>
                <w:rFonts w:ascii="Times New Roman" w:eastAsia="Calibri" w:hAnsi="Times New Roman" w:cs="Times New Roman"/>
                <w:b/>
                <w:bCs/>
                <w:color w:val="231F20"/>
                <w:sz w:val="24"/>
                <w:szCs w:val="24"/>
                <w:lang w:val="ro-RO"/>
              </w:rPr>
            </w:pPr>
            <w:r w:rsidRPr="00B803B5">
              <w:rPr>
                <w:rFonts w:ascii="Times New Roman" w:eastAsia="Calibri" w:hAnsi="Times New Roman" w:cs="Times New Roman"/>
                <w:b/>
                <w:bCs/>
                <w:color w:val="231F20"/>
                <w:sz w:val="24"/>
                <w:szCs w:val="24"/>
                <w:lang w:val="ro-RO"/>
              </w:rPr>
              <w:t>Criterii adiționale</w:t>
            </w:r>
          </w:p>
          <w:p w14:paraId="305AC543" w14:textId="77777777" w:rsidR="006C1D03" w:rsidRDefault="006C1D03" w:rsidP="0054133A">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Redoare matinală la nivelul regiunii gâtului sau umerilor +2</w:t>
            </w:r>
          </w:p>
          <w:p w14:paraId="254E5898" w14:textId="77777777" w:rsidR="00AD06EC" w:rsidRDefault="00AD06EC" w:rsidP="0054133A">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Pierdere bruscă a vederii +3</w:t>
            </w:r>
          </w:p>
          <w:p w14:paraId="49A998B8" w14:textId="77777777" w:rsidR="00C40EC1" w:rsidRDefault="00C40EC1" w:rsidP="0054133A">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Claudicație a limbii sau maxilarului + 2</w:t>
            </w:r>
          </w:p>
          <w:p w14:paraId="0A54B6B5" w14:textId="77777777" w:rsidR="00BB76CB" w:rsidRDefault="00BB76CB" w:rsidP="0054133A">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Durere temporală nou instalată +2</w:t>
            </w:r>
          </w:p>
          <w:p w14:paraId="6EF1F01A" w14:textId="77777777" w:rsidR="0023340B" w:rsidRDefault="0023340B" w:rsidP="0054133A">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Durere la nivelul scalpului +2</w:t>
            </w:r>
          </w:p>
          <w:p w14:paraId="5295180B" w14:textId="77777777" w:rsidR="0054133A" w:rsidRPr="00147CAD" w:rsidRDefault="0054133A" w:rsidP="0054133A">
            <w:pPr>
              <w:autoSpaceDE w:val="0"/>
              <w:autoSpaceDN w:val="0"/>
              <w:adjustRightInd w:val="0"/>
              <w:spacing w:after="200"/>
              <w:jc w:val="both"/>
              <w:rPr>
                <w:rFonts w:ascii="Times New Roman" w:eastAsia="Calibri" w:hAnsi="Times New Roman" w:cs="Times New Roman"/>
                <w:color w:val="231F20"/>
                <w:sz w:val="24"/>
                <w:szCs w:val="24"/>
                <w:vertAlign w:val="superscript"/>
                <w:lang w:val="ro-RO"/>
              </w:rPr>
            </w:pPr>
            <w:r>
              <w:rPr>
                <w:rFonts w:ascii="Times New Roman" w:eastAsia="Calibri" w:hAnsi="Times New Roman" w:cs="Times New Roman"/>
                <w:color w:val="231F20"/>
                <w:sz w:val="24"/>
                <w:szCs w:val="24"/>
                <w:lang w:val="ro-RO"/>
              </w:rPr>
              <w:t>Anormalii ale arterei temporale* +2</w:t>
            </w:r>
          </w:p>
        </w:tc>
      </w:tr>
      <w:tr w:rsidR="006C1D03" w:rsidRPr="00147CAD" w14:paraId="6B2FDBEB" w14:textId="77777777" w:rsidTr="007D129E">
        <w:tc>
          <w:tcPr>
            <w:tcW w:w="8217" w:type="dxa"/>
          </w:tcPr>
          <w:p w14:paraId="6B883694" w14:textId="77777777" w:rsidR="006C1D03" w:rsidRPr="0009760C" w:rsidRDefault="00687D84" w:rsidP="00147CAD">
            <w:pPr>
              <w:autoSpaceDE w:val="0"/>
              <w:autoSpaceDN w:val="0"/>
              <w:adjustRightInd w:val="0"/>
              <w:spacing w:after="200" w:line="360" w:lineRule="auto"/>
              <w:jc w:val="both"/>
              <w:rPr>
                <w:rFonts w:ascii="Times New Roman" w:eastAsia="Calibri" w:hAnsi="Times New Roman" w:cs="Times New Roman"/>
                <w:b/>
                <w:bCs/>
                <w:color w:val="231F20"/>
                <w:sz w:val="24"/>
                <w:szCs w:val="24"/>
                <w:lang w:val="ro-RO"/>
              </w:rPr>
            </w:pPr>
            <w:r w:rsidRPr="0009760C">
              <w:rPr>
                <w:rFonts w:ascii="Times New Roman" w:eastAsia="Calibri" w:hAnsi="Times New Roman" w:cs="Times New Roman"/>
                <w:b/>
                <w:bCs/>
                <w:color w:val="231F20"/>
                <w:sz w:val="24"/>
                <w:szCs w:val="24"/>
                <w:lang w:val="ro-RO"/>
              </w:rPr>
              <w:t>Criterii de laborator, imagistice și histologice (biopsie)</w:t>
            </w:r>
          </w:p>
          <w:p w14:paraId="63A2C838" w14:textId="77777777" w:rsidR="00687D84" w:rsidRPr="0009760C" w:rsidRDefault="00F21063" w:rsidP="00514D83">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Valoarea maximă a VSH ≥ 50 mm/h sau valoarea maximă a CRP ≥ 10 mg/L** +3</w:t>
            </w:r>
          </w:p>
          <w:p w14:paraId="76E8014E" w14:textId="77777777" w:rsidR="008917A3" w:rsidRPr="00E346F2" w:rsidRDefault="008917A3" w:rsidP="00514D83">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Biopsie pozitivă sau semnul haloului</w:t>
            </w:r>
            <w:r w:rsidR="0012264A">
              <w:rPr>
                <w:rFonts w:ascii="Times New Roman" w:eastAsia="Calibri" w:hAnsi="Times New Roman" w:cs="Times New Roman"/>
                <w:color w:val="231F20"/>
                <w:sz w:val="24"/>
                <w:szCs w:val="24"/>
                <w:lang w:val="ro-RO"/>
              </w:rPr>
              <w:t xml:space="preserve"> la ultrasonografia temporală</w:t>
            </w:r>
            <w:r w:rsidR="0012264A">
              <w:rPr>
                <w:rFonts w:ascii="Times New Roman" w:eastAsia="Calibri" w:hAnsi="Times New Roman" w:cs="Times New Roman"/>
                <w:color w:val="231F20"/>
                <w:sz w:val="24"/>
                <w:szCs w:val="24"/>
                <w:vertAlign w:val="superscript"/>
                <w:lang w:val="ro-RO"/>
              </w:rPr>
              <w:t>***</w:t>
            </w:r>
            <w:r w:rsidR="00E346F2">
              <w:rPr>
                <w:rFonts w:ascii="Times New Roman" w:eastAsia="Calibri" w:hAnsi="Times New Roman" w:cs="Times New Roman"/>
                <w:color w:val="231F20"/>
                <w:sz w:val="24"/>
                <w:szCs w:val="24"/>
                <w:vertAlign w:val="superscript"/>
                <w:lang w:val="ro-RO"/>
              </w:rPr>
              <w:t xml:space="preserve"> </w:t>
            </w:r>
            <w:r w:rsidR="00E346F2" w:rsidRPr="00E346F2">
              <w:rPr>
                <w:rFonts w:ascii="Times New Roman" w:eastAsia="Calibri" w:hAnsi="Times New Roman" w:cs="Times New Roman"/>
                <w:color w:val="231F20"/>
                <w:sz w:val="24"/>
                <w:szCs w:val="24"/>
                <w:lang w:val="ro-RO"/>
              </w:rPr>
              <w:t>+5</w:t>
            </w:r>
          </w:p>
          <w:p w14:paraId="3D86FBEE" w14:textId="77777777" w:rsidR="00B156FD" w:rsidRPr="00A12649" w:rsidRDefault="00B156FD" w:rsidP="00514D83">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Afectare axilară bilaterală</w:t>
            </w:r>
            <w:r w:rsidR="00CE40E9" w:rsidRPr="00CE40E9">
              <w:rPr>
                <w:rFonts w:ascii="Times New Roman" w:eastAsia="Calibri" w:hAnsi="Times New Roman" w:cs="Times New Roman"/>
                <w:color w:val="231F20"/>
                <w:sz w:val="24"/>
                <w:szCs w:val="24"/>
                <w:vertAlign w:val="superscript"/>
                <w:lang w:val="ro-RO"/>
              </w:rPr>
              <w:t>****</w:t>
            </w:r>
            <w:r w:rsidR="00A12649">
              <w:rPr>
                <w:rFonts w:ascii="Times New Roman" w:eastAsia="Calibri" w:hAnsi="Times New Roman" w:cs="Times New Roman"/>
                <w:color w:val="231F20"/>
                <w:sz w:val="24"/>
                <w:szCs w:val="24"/>
                <w:lang w:val="ro-RO"/>
              </w:rPr>
              <w:t xml:space="preserve"> +2</w:t>
            </w:r>
          </w:p>
          <w:p w14:paraId="7E7BB731" w14:textId="77777777" w:rsidR="0012264A" w:rsidRPr="00147CAD" w:rsidRDefault="00C9641B" w:rsidP="00514D83">
            <w:pPr>
              <w:autoSpaceDE w:val="0"/>
              <w:autoSpaceDN w:val="0"/>
              <w:adjustRightInd w:val="0"/>
              <w:spacing w:after="200"/>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Activitate PET-</w:t>
            </w:r>
            <w:r w:rsidR="000B7C57">
              <w:rPr>
                <w:rFonts w:ascii="Times New Roman" w:eastAsia="Calibri" w:hAnsi="Times New Roman" w:cs="Times New Roman"/>
                <w:color w:val="231F20"/>
                <w:sz w:val="24"/>
                <w:szCs w:val="24"/>
                <w:lang w:val="ro-RO"/>
              </w:rPr>
              <w:t>FDG la nivel aortic</w:t>
            </w:r>
            <w:r w:rsidR="000B7C57">
              <w:rPr>
                <w:rFonts w:ascii="Times New Roman" w:eastAsia="Calibri" w:hAnsi="Times New Roman" w:cs="Times New Roman"/>
                <w:color w:val="231F20"/>
                <w:sz w:val="24"/>
                <w:szCs w:val="24"/>
                <w:vertAlign w:val="superscript"/>
                <w:lang w:val="ro-RO"/>
              </w:rPr>
              <w:t>*****</w:t>
            </w:r>
            <w:r w:rsidR="000B7C57">
              <w:rPr>
                <w:rFonts w:ascii="Times New Roman" w:eastAsia="Calibri" w:hAnsi="Times New Roman" w:cs="Times New Roman"/>
                <w:color w:val="231F20"/>
                <w:sz w:val="24"/>
                <w:szCs w:val="24"/>
                <w:lang w:val="ro-RO"/>
              </w:rPr>
              <w:t xml:space="preserve"> +2</w:t>
            </w:r>
          </w:p>
        </w:tc>
      </w:tr>
    </w:tbl>
    <w:bookmarkEnd w:id="6"/>
    <w:p w14:paraId="2614AFCC" w14:textId="77777777" w:rsidR="00147CAD" w:rsidRDefault="00D83BE0" w:rsidP="00F97D49">
      <w:pPr>
        <w:autoSpaceDE w:val="0"/>
        <w:autoSpaceDN w:val="0"/>
        <w:adjustRightInd w:val="0"/>
        <w:spacing w:after="200" w:line="240" w:lineRule="auto"/>
        <w:ind w:firstLine="708"/>
        <w:jc w:val="both"/>
        <w:rPr>
          <w:rFonts w:ascii="Times New Roman" w:eastAsia="Calibri" w:hAnsi="Times New Roman" w:cs="Times New Roman"/>
          <w:color w:val="231F20"/>
          <w:sz w:val="24"/>
          <w:szCs w:val="24"/>
          <w:lang w:val="ro-RO"/>
        </w:rPr>
      </w:pPr>
      <w:r w:rsidRPr="00D83BE0">
        <w:rPr>
          <w:rFonts w:ascii="Times New Roman" w:eastAsia="Calibri" w:hAnsi="Times New Roman" w:cs="Times New Roman"/>
          <w:color w:val="231F20"/>
          <w:sz w:val="24"/>
          <w:szCs w:val="24"/>
          <w:vertAlign w:val="superscript"/>
          <w:lang w:val="ro-RO"/>
        </w:rPr>
        <w:t>*</w:t>
      </w:r>
      <w:r w:rsidRPr="00D83BE0">
        <w:rPr>
          <w:rFonts w:ascii="Times New Roman" w:eastAsia="Calibri" w:hAnsi="Times New Roman" w:cs="Times New Roman"/>
          <w:color w:val="231F20"/>
          <w:sz w:val="24"/>
          <w:szCs w:val="24"/>
          <w:lang w:val="ro-RO"/>
        </w:rPr>
        <w:t>examinare</w:t>
      </w:r>
      <w:r w:rsidR="002E6BE5">
        <w:rPr>
          <w:rFonts w:ascii="Times New Roman" w:eastAsia="Calibri" w:hAnsi="Times New Roman" w:cs="Times New Roman"/>
          <w:color w:val="231F20"/>
          <w:sz w:val="24"/>
          <w:szCs w:val="24"/>
          <w:lang w:val="ro-RO"/>
        </w:rPr>
        <w:t xml:space="preserve">a arterei temporale care evidențiază </w:t>
      </w:r>
      <w:r w:rsidR="00160365">
        <w:rPr>
          <w:rFonts w:ascii="Times New Roman" w:eastAsia="Calibri" w:hAnsi="Times New Roman" w:cs="Times New Roman"/>
          <w:color w:val="231F20"/>
          <w:sz w:val="24"/>
          <w:szCs w:val="24"/>
          <w:lang w:val="ro-RO"/>
        </w:rPr>
        <w:t xml:space="preserve">puls absent sau diminuat, </w:t>
      </w:r>
      <w:r w:rsidR="004C1D2F">
        <w:rPr>
          <w:rFonts w:ascii="Times New Roman" w:eastAsia="Calibri" w:hAnsi="Times New Roman" w:cs="Times New Roman"/>
          <w:color w:val="231F20"/>
          <w:sz w:val="24"/>
          <w:szCs w:val="24"/>
          <w:lang w:val="ro-RO"/>
        </w:rPr>
        <w:t>sensibilitate sau creșterea consistenței locale (aspect de cordon indurat)</w:t>
      </w:r>
    </w:p>
    <w:p w14:paraId="02A8EE78" w14:textId="472B1A91" w:rsidR="004C1D2F" w:rsidRDefault="004C1D2F" w:rsidP="002F095C">
      <w:pPr>
        <w:autoSpaceDE w:val="0"/>
        <w:autoSpaceDN w:val="0"/>
        <w:adjustRightInd w:val="0"/>
        <w:spacing w:after="200" w:line="240" w:lineRule="auto"/>
        <w:ind w:firstLine="708"/>
        <w:jc w:val="both"/>
        <w:rPr>
          <w:rFonts w:ascii="Times New Roman" w:eastAsia="Calibri" w:hAnsi="Times New Roman" w:cs="Times New Roman"/>
          <w:color w:val="231F20"/>
          <w:sz w:val="24"/>
          <w:szCs w:val="24"/>
          <w:lang w:val="ro-RO"/>
        </w:rPr>
      </w:pPr>
      <w:r w:rsidRPr="00F97D49">
        <w:rPr>
          <w:rFonts w:ascii="Times New Roman" w:eastAsia="Calibri" w:hAnsi="Times New Roman" w:cs="Times New Roman"/>
          <w:color w:val="231F20"/>
          <w:sz w:val="24"/>
          <w:szCs w:val="24"/>
          <w:vertAlign w:val="superscript"/>
          <w:lang w:val="ro-RO"/>
        </w:rPr>
        <w:t>**</w:t>
      </w:r>
      <w:r w:rsidR="00F9506A">
        <w:rPr>
          <w:rFonts w:ascii="Times New Roman" w:eastAsia="Calibri" w:hAnsi="Times New Roman" w:cs="Times New Roman"/>
          <w:color w:val="231F20"/>
          <w:sz w:val="24"/>
          <w:szCs w:val="24"/>
          <w:lang w:val="ro-RO"/>
        </w:rPr>
        <w:t>valorile maxime ale VSH și CRP (proteina C reactivă) înaintea inițierii tratamentului</w:t>
      </w:r>
      <w:r w:rsidR="004D18AD">
        <w:rPr>
          <w:rFonts w:ascii="Times New Roman" w:eastAsia="Calibri" w:hAnsi="Times New Roman" w:cs="Times New Roman"/>
          <w:color w:val="231F20"/>
          <w:sz w:val="24"/>
          <w:szCs w:val="24"/>
          <w:lang w:val="ro-RO"/>
        </w:rPr>
        <w:t>.</w:t>
      </w:r>
    </w:p>
    <w:p w14:paraId="25D11E67" w14:textId="3FF224BB" w:rsidR="00F9506A" w:rsidRDefault="0089033C" w:rsidP="002F095C">
      <w:pPr>
        <w:autoSpaceDE w:val="0"/>
        <w:autoSpaceDN w:val="0"/>
        <w:adjustRightInd w:val="0"/>
        <w:spacing w:after="200" w:line="240" w:lineRule="auto"/>
        <w:ind w:firstLine="708"/>
        <w:jc w:val="both"/>
        <w:rPr>
          <w:rFonts w:ascii="Times New Roman" w:eastAsia="Calibri" w:hAnsi="Times New Roman" w:cs="Times New Roman"/>
          <w:color w:val="231F20"/>
          <w:sz w:val="24"/>
          <w:szCs w:val="24"/>
          <w:lang w:val="ro-RO"/>
        </w:rPr>
      </w:pPr>
      <w:r w:rsidRPr="00F97D49">
        <w:rPr>
          <w:rFonts w:ascii="Times New Roman" w:eastAsia="Calibri" w:hAnsi="Times New Roman" w:cs="Times New Roman"/>
          <w:color w:val="231F20"/>
          <w:sz w:val="24"/>
          <w:szCs w:val="24"/>
          <w:vertAlign w:val="superscript"/>
          <w:lang w:val="ro-RO"/>
        </w:rPr>
        <w:t>***</w:t>
      </w:r>
      <w:r>
        <w:rPr>
          <w:rFonts w:ascii="Times New Roman" w:eastAsia="Calibri" w:hAnsi="Times New Roman" w:cs="Times New Roman"/>
          <w:color w:val="231F20"/>
          <w:sz w:val="24"/>
          <w:szCs w:val="24"/>
          <w:lang w:val="ro-RO"/>
        </w:rPr>
        <w:t>prezența fie a aspectului t</w:t>
      </w:r>
      <w:r w:rsidR="000F7616">
        <w:rPr>
          <w:rFonts w:ascii="Times New Roman" w:eastAsia="Calibri" w:hAnsi="Times New Roman" w:cs="Times New Roman"/>
          <w:color w:val="231F20"/>
          <w:sz w:val="24"/>
          <w:szCs w:val="24"/>
          <w:lang w:val="ro-RO"/>
        </w:rPr>
        <w:t xml:space="preserve">ipic de vasculită pe biopsia de arteră temporală sau semnul haloului ecografic. </w:t>
      </w:r>
      <w:r w:rsidR="006425AA">
        <w:rPr>
          <w:rFonts w:ascii="Times New Roman" w:eastAsia="Calibri" w:hAnsi="Times New Roman" w:cs="Times New Roman"/>
          <w:color w:val="231F20"/>
          <w:sz w:val="24"/>
          <w:szCs w:val="24"/>
          <w:lang w:val="ro-RO"/>
        </w:rPr>
        <w:t>Nu există criterii histopatologice</w:t>
      </w:r>
      <w:r w:rsidR="00EF2E11">
        <w:rPr>
          <w:rFonts w:ascii="Times New Roman" w:eastAsia="Calibri" w:hAnsi="Times New Roman" w:cs="Times New Roman"/>
          <w:color w:val="231F20"/>
          <w:sz w:val="24"/>
          <w:szCs w:val="24"/>
          <w:lang w:val="ro-RO"/>
        </w:rPr>
        <w:t xml:space="preserve"> pentru a defini cert vasculita </w:t>
      </w:r>
      <w:r w:rsidR="002E6937">
        <w:rPr>
          <w:rFonts w:ascii="Times New Roman" w:eastAsia="Calibri" w:hAnsi="Times New Roman" w:cs="Times New Roman"/>
          <w:color w:val="231F20"/>
          <w:sz w:val="24"/>
          <w:szCs w:val="24"/>
          <w:lang w:val="ro-RO"/>
        </w:rPr>
        <w:t>în urma biopsiei de arteră temporală. Prezența celulelor gigante,</w:t>
      </w:r>
      <w:r w:rsidR="00D2675E">
        <w:rPr>
          <w:rFonts w:ascii="Times New Roman" w:eastAsia="Calibri" w:hAnsi="Times New Roman" w:cs="Times New Roman"/>
          <w:color w:val="231F20"/>
          <w:sz w:val="24"/>
          <w:szCs w:val="24"/>
          <w:lang w:val="ro-RO"/>
        </w:rPr>
        <w:t xml:space="preserve"> a infiltratului leucocitar cu mononucleate și fragmentarea laminei elastice interne</w:t>
      </w:r>
      <w:r w:rsidR="00D76A5A">
        <w:rPr>
          <w:rFonts w:ascii="Times New Roman" w:eastAsia="Calibri" w:hAnsi="Times New Roman" w:cs="Times New Roman"/>
          <w:color w:val="231F20"/>
          <w:sz w:val="24"/>
          <w:szCs w:val="24"/>
          <w:lang w:val="ro-RO"/>
        </w:rPr>
        <w:t xml:space="preserve"> au fost independent asociate</w:t>
      </w:r>
      <w:r w:rsidR="004F689A">
        <w:rPr>
          <w:rFonts w:ascii="Times New Roman" w:eastAsia="Calibri" w:hAnsi="Times New Roman" w:cs="Times New Roman"/>
          <w:color w:val="231F20"/>
          <w:sz w:val="24"/>
          <w:szCs w:val="24"/>
          <w:lang w:val="ro-RO"/>
        </w:rPr>
        <w:t xml:space="preserve"> cu interpretarea histologică de vasculită în cohorta</w:t>
      </w:r>
      <w:r w:rsidR="007A15A3">
        <w:rPr>
          <w:rFonts w:ascii="Times New Roman" w:eastAsia="Calibri" w:hAnsi="Times New Roman" w:cs="Times New Roman"/>
          <w:color w:val="231F20"/>
          <w:sz w:val="24"/>
          <w:szCs w:val="24"/>
          <w:lang w:val="ro-RO"/>
        </w:rPr>
        <w:t xml:space="preserve"> DCVAS</w:t>
      </w:r>
      <w:r w:rsidR="00055ADA">
        <w:rPr>
          <w:rFonts w:ascii="Times New Roman" w:eastAsia="Calibri" w:hAnsi="Times New Roman" w:cs="Times New Roman"/>
          <w:color w:val="231F20"/>
          <w:sz w:val="24"/>
          <w:szCs w:val="24"/>
          <w:lang w:val="ro-RO"/>
        </w:rPr>
        <w:t>. Semnul haloului este definit de prezența</w:t>
      </w:r>
      <w:r w:rsidR="00853182">
        <w:rPr>
          <w:rFonts w:ascii="Times New Roman" w:eastAsia="Calibri" w:hAnsi="Times New Roman" w:cs="Times New Roman"/>
          <w:color w:val="231F20"/>
          <w:sz w:val="24"/>
          <w:szCs w:val="24"/>
          <w:lang w:val="ro-RO"/>
        </w:rPr>
        <w:t xml:space="preserve"> unei îngroșări hipoecoice, omogene</w:t>
      </w:r>
      <w:r w:rsidR="004D18AD">
        <w:rPr>
          <w:rFonts w:ascii="Times New Roman" w:eastAsia="Calibri" w:hAnsi="Times New Roman" w:cs="Times New Roman"/>
          <w:color w:val="231F20"/>
          <w:sz w:val="24"/>
          <w:szCs w:val="24"/>
          <w:lang w:val="ro-RO"/>
        </w:rPr>
        <w:t>,</w:t>
      </w:r>
      <w:r w:rsidR="00730A89">
        <w:rPr>
          <w:rFonts w:ascii="Times New Roman" w:eastAsia="Calibri" w:hAnsi="Times New Roman" w:cs="Times New Roman"/>
          <w:color w:val="231F20"/>
          <w:sz w:val="24"/>
          <w:szCs w:val="24"/>
          <w:lang w:val="ro-RO"/>
        </w:rPr>
        <w:t xml:space="preserve"> a peretelui arterial la efectuarea ultrasonografiei</w:t>
      </w:r>
      <w:r w:rsidR="004D18AD">
        <w:rPr>
          <w:rFonts w:ascii="Times New Roman" w:eastAsia="Calibri" w:hAnsi="Times New Roman" w:cs="Times New Roman"/>
          <w:color w:val="231F20"/>
          <w:sz w:val="24"/>
          <w:szCs w:val="24"/>
          <w:lang w:val="ro-RO"/>
        </w:rPr>
        <w:t>.</w:t>
      </w:r>
    </w:p>
    <w:p w14:paraId="628820B9" w14:textId="33F0ADC3" w:rsidR="00730A89" w:rsidRDefault="00730A89" w:rsidP="002F095C">
      <w:pPr>
        <w:autoSpaceDE w:val="0"/>
        <w:autoSpaceDN w:val="0"/>
        <w:adjustRightInd w:val="0"/>
        <w:spacing w:after="200" w:line="240" w:lineRule="auto"/>
        <w:ind w:firstLine="708"/>
        <w:jc w:val="both"/>
        <w:rPr>
          <w:rFonts w:ascii="Times New Roman" w:eastAsia="Calibri" w:hAnsi="Times New Roman" w:cs="Times New Roman"/>
          <w:color w:val="231F20"/>
          <w:sz w:val="24"/>
          <w:szCs w:val="24"/>
          <w:lang w:val="ro-RO"/>
        </w:rPr>
      </w:pPr>
      <w:r w:rsidRPr="00F97D49">
        <w:rPr>
          <w:rFonts w:ascii="Times New Roman" w:eastAsia="Calibri" w:hAnsi="Times New Roman" w:cs="Times New Roman"/>
          <w:color w:val="231F20"/>
          <w:sz w:val="24"/>
          <w:szCs w:val="24"/>
          <w:vertAlign w:val="superscript"/>
          <w:lang w:val="ro-RO"/>
        </w:rPr>
        <w:lastRenderedPageBreak/>
        <w:t>****</w:t>
      </w:r>
      <w:r w:rsidR="002F095C">
        <w:rPr>
          <w:rFonts w:ascii="Times New Roman" w:eastAsia="Calibri" w:hAnsi="Times New Roman" w:cs="Times New Roman"/>
          <w:color w:val="231F20"/>
          <w:sz w:val="24"/>
          <w:szCs w:val="24"/>
          <w:lang w:val="ro-RO"/>
        </w:rPr>
        <w:t>a</w:t>
      </w:r>
      <w:r w:rsidR="00B378F6">
        <w:rPr>
          <w:rFonts w:ascii="Times New Roman" w:eastAsia="Calibri" w:hAnsi="Times New Roman" w:cs="Times New Roman"/>
          <w:color w:val="231F20"/>
          <w:sz w:val="24"/>
          <w:szCs w:val="24"/>
          <w:lang w:val="ro-RO"/>
        </w:rPr>
        <w:t>fectarea axilară bilat</w:t>
      </w:r>
      <w:r w:rsidR="008B552D">
        <w:rPr>
          <w:rFonts w:ascii="Times New Roman" w:eastAsia="Calibri" w:hAnsi="Times New Roman" w:cs="Times New Roman"/>
          <w:color w:val="231F20"/>
          <w:sz w:val="24"/>
          <w:szCs w:val="24"/>
          <w:lang w:val="ro-RO"/>
        </w:rPr>
        <w:t>erală este definită ca lezare luminală (</w:t>
      </w:r>
      <w:r w:rsidR="00C17875">
        <w:rPr>
          <w:rFonts w:ascii="Times New Roman" w:eastAsia="Calibri" w:hAnsi="Times New Roman" w:cs="Times New Roman"/>
          <w:color w:val="231F20"/>
          <w:sz w:val="24"/>
          <w:szCs w:val="24"/>
          <w:lang w:val="ro-RO"/>
        </w:rPr>
        <w:t xml:space="preserve">stenoză, ocluzie sau anevrism) evidențiată </w:t>
      </w:r>
      <w:r w:rsidR="009015F9">
        <w:rPr>
          <w:rFonts w:ascii="Times New Roman" w:eastAsia="Calibri" w:hAnsi="Times New Roman" w:cs="Times New Roman"/>
          <w:color w:val="231F20"/>
          <w:sz w:val="24"/>
          <w:szCs w:val="24"/>
          <w:lang w:val="ro-RO"/>
        </w:rPr>
        <w:t>angiografic (CT, IRM sau cateterism</w:t>
      </w:r>
      <w:r w:rsidR="00416993">
        <w:rPr>
          <w:rFonts w:ascii="Times New Roman" w:eastAsia="Calibri" w:hAnsi="Times New Roman" w:cs="Times New Roman"/>
          <w:color w:val="231F20"/>
          <w:sz w:val="24"/>
          <w:szCs w:val="24"/>
          <w:lang w:val="ro-RO"/>
        </w:rPr>
        <w:t>) sau semnul haloului la ultrasonografie</w:t>
      </w:r>
      <w:r w:rsidR="002C5746">
        <w:rPr>
          <w:rFonts w:ascii="Times New Roman" w:eastAsia="Calibri" w:hAnsi="Times New Roman" w:cs="Times New Roman"/>
          <w:color w:val="231F20"/>
          <w:sz w:val="24"/>
          <w:szCs w:val="24"/>
          <w:lang w:val="ro-RO"/>
        </w:rPr>
        <w:t xml:space="preserve"> sau captare de fluorodeoxiglucoză</w:t>
      </w:r>
      <w:r w:rsidR="0002288A">
        <w:rPr>
          <w:rFonts w:ascii="Times New Roman" w:eastAsia="Calibri" w:hAnsi="Times New Roman" w:cs="Times New Roman"/>
          <w:color w:val="231F20"/>
          <w:sz w:val="24"/>
          <w:szCs w:val="24"/>
          <w:lang w:val="ro-RO"/>
        </w:rPr>
        <w:t xml:space="preserve"> (FDG) la PET</w:t>
      </w:r>
      <w:r w:rsidR="00F53544">
        <w:rPr>
          <w:rFonts w:ascii="Times New Roman" w:eastAsia="Calibri" w:hAnsi="Times New Roman" w:cs="Times New Roman"/>
          <w:color w:val="231F20"/>
          <w:sz w:val="24"/>
          <w:szCs w:val="24"/>
          <w:lang w:val="ro-RO"/>
        </w:rPr>
        <w:t>-</w:t>
      </w:r>
      <w:r w:rsidR="0002288A">
        <w:rPr>
          <w:rFonts w:ascii="Times New Roman" w:eastAsia="Calibri" w:hAnsi="Times New Roman" w:cs="Times New Roman"/>
          <w:color w:val="231F20"/>
          <w:sz w:val="24"/>
          <w:szCs w:val="24"/>
          <w:lang w:val="ro-RO"/>
        </w:rPr>
        <w:t>CT</w:t>
      </w:r>
      <w:r w:rsidR="004D18AD">
        <w:rPr>
          <w:rFonts w:ascii="Times New Roman" w:eastAsia="Calibri" w:hAnsi="Times New Roman" w:cs="Times New Roman"/>
          <w:color w:val="231F20"/>
          <w:sz w:val="24"/>
          <w:szCs w:val="24"/>
          <w:lang w:val="ro-RO"/>
        </w:rPr>
        <w:t>.</w:t>
      </w:r>
    </w:p>
    <w:p w14:paraId="1B5C38BE" w14:textId="3346D8A6" w:rsidR="0002288A" w:rsidRPr="004D18AD" w:rsidRDefault="0002288A" w:rsidP="002F095C">
      <w:pPr>
        <w:autoSpaceDE w:val="0"/>
        <w:autoSpaceDN w:val="0"/>
        <w:adjustRightInd w:val="0"/>
        <w:spacing w:after="200" w:line="240" w:lineRule="auto"/>
        <w:ind w:firstLine="708"/>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vertAlign w:val="superscript"/>
          <w:lang w:val="ro-RO"/>
        </w:rPr>
        <w:t>*****</w:t>
      </w:r>
      <w:r w:rsidRPr="004D18AD">
        <w:rPr>
          <w:rFonts w:ascii="Times New Roman" w:eastAsia="Calibri" w:hAnsi="Times New Roman" w:cs="Times New Roman"/>
          <w:color w:val="231F20"/>
          <w:sz w:val="24"/>
          <w:szCs w:val="24"/>
          <w:lang w:val="ro-RO"/>
        </w:rPr>
        <w:t>captare anormală de fluorodeoxiglucoză (FDG) la nivelul peretelui arterial (de exemplu, la inspecția vizuală mai mult decât captarea hepatică) la nivelul aortei toracice descendente și abdominale la PET-CT</w:t>
      </w:r>
      <w:r w:rsidR="004D18AD">
        <w:rPr>
          <w:rFonts w:ascii="Times New Roman" w:eastAsia="Calibri" w:hAnsi="Times New Roman" w:cs="Times New Roman"/>
          <w:color w:val="231F20"/>
          <w:sz w:val="24"/>
          <w:szCs w:val="24"/>
          <w:lang w:val="ro-RO"/>
        </w:rPr>
        <w:t>.</w:t>
      </w:r>
    </w:p>
    <w:p w14:paraId="79EE5476" w14:textId="77777777" w:rsidR="004D18AD" w:rsidRDefault="004D18AD" w:rsidP="008D75FF">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p>
    <w:p w14:paraId="3BF99B34" w14:textId="4777FE43" w:rsidR="008D75FF" w:rsidRPr="00634F8F" w:rsidRDefault="008D75FF" w:rsidP="008D75FF">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634F8F">
        <w:rPr>
          <w:rFonts w:ascii="Times New Roman" w:eastAsia="Calibri" w:hAnsi="Times New Roman" w:cs="Times New Roman"/>
          <w:color w:val="231F20"/>
          <w:sz w:val="24"/>
          <w:szCs w:val="24"/>
          <w:lang w:val="ro-RO"/>
        </w:rPr>
        <w:t>Scopul tratamentului este obținerea remisiunii</w:t>
      </w:r>
      <w:r w:rsidR="004D18AD">
        <w:rPr>
          <w:rFonts w:ascii="Times New Roman" w:eastAsia="Calibri" w:hAnsi="Times New Roman" w:cs="Times New Roman"/>
          <w:color w:val="231F20"/>
          <w:sz w:val="24"/>
          <w:szCs w:val="24"/>
          <w:lang w:val="ro-RO"/>
        </w:rPr>
        <w:t>,</w:t>
      </w:r>
      <w:r w:rsidRPr="00634F8F">
        <w:rPr>
          <w:rFonts w:ascii="Times New Roman" w:eastAsia="Calibri" w:hAnsi="Times New Roman" w:cs="Times New Roman"/>
          <w:color w:val="231F20"/>
          <w:sz w:val="24"/>
          <w:szCs w:val="24"/>
          <w:lang w:val="ro-RO"/>
        </w:rPr>
        <w:t xml:space="preserve"> definită ca absența tuturor semnelor și simptomelor de boală, normalizarea markerilor de inflamație și, în cazul afectărilor extracraniene, absența eviden</w:t>
      </w:r>
      <w:r>
        <w:rPr>
          <w:rFonts w:ascii="Times New Roman" w:eastAsia="Calibri" w:hAnsi="Times New Roman" w:cs="Times New Roman"/>
          <w:color w:val="231F20"/>
          <w:sz w:val="24"/>
          <w:szCs w:val="24"/>
          <w:lang w:val="ro-RO"/>
        </w:rPr>
        <w:t>țe</w:t>
      </w:r>
      <w:r w:rsidRPr="00634F8F">
        <w:rPr>
          <w:rFonts w:ascii="Times New Roman" w:eastAsia="Calibri" w:hAnsi="Times New Roman" w:cs="Times New Roman"/>
          <w:color w:val="231F20"/>
          <w:sz w:val="24"/>
          <w:szCs w:val="24"/>
          <w:lang w:val="ro-RO"/>
        </w:rPr>
        <w:t>lor de stenoză sau dilatație progresivă. Remisiunea susținută este considerată atunci când se menține pentru minimum 6 luni.</w:t>
      </w:r>
    </w:p>
    <w:p w14:paraId="71C3ECFC" w14:textId="77777777" w:rsidR="00634F8F" w:rsidRPr="008D6F38" w:rsidRDefault="00A20EE7" w:rsidP="00A20EE7">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8D6F38">
        <w:rPr>
          <w:rFonts w:ascii="Times New Roman" w:eastAsia="Calibri" w:hAnsi="Times New Roman" w:cs="Times New Roman"/>
          <w:color w:val="231F20"/>
          <w:sz w:val="24"/>
          <w:szCs w:val="24"/>
          <w:lang w:val="ro-RO"/>
        </w:rPr>
        <w:t>Tratamentul presupune folosirea inițială a unor doze de prednison sau echivalent de 40–60 mg/zi. Dacă pacientul nu răspunde rapid se poate crește doza. În condițiile unei suspiciuni crescute de afectare oculară severă se poate iniția puls-terapie cu metilprednisolon 500-1000 mg/zi trei zile consecutiv urmată de 40-60 mg de prednison/echivalent. Scăderea dozei poate începe o dată cu rezolvarea semnelor și simptomelor de boală și normalizarea reactanților de fază acută, astfel încât la 2-3 luni doza să fie în jur de 15–20 mg/zi, în administrare unică, iar după un an ≤ 5 mg/zi. Datorită riscului crescut de recădere, doza de întreținere se menține 24 de luni, iar uneori, în cazuri selecționate, chiar și mai mult. La pacienții la care se utilizează terapii imunosupresoare adjuvante, metotrexat sau tocilizumab, doza de cortizon se poate scădea mai repede.</w:t>
      </w:r>
    </w:p>
    <w:p w14:paraId="04676A40" w14:textId="77777777" w:rsidR="00991EE1" w:rsidRPr="00991EE1" w:rsidRDefault="00991EE1" w:rsidP="004D18AD">
      <w:pPr>
        <w:pStyle w:val="NormalWeb"/>
        <w:spacing w:line="360" w:lineRule="auto"/>
        <w:ind w:firstLine="708"/>
        <w:jc w:val="both"/>
      </w:pPr>
      <w:r>
        <w:rPr>
          <w:rStyle w:val="Strong"/>
        </w:rPr>
        <w:t>Tocilizumabul</w:t>
      </w:r>
      <w:r>
        <w:t xml:space="preserve"> (anticorp monoclonal anti-receptor de IL-6) poate fi utilizat ca tratament adjuvant corticoterapiei, în special la pacienții cu risc crescut de recădere, boală recidivantă sau risc important de toxicitate cortizonică. </w:t>
      </w:r>
      <w:r w:rsidRPr="00991EE1">
        <w:t xml:space="preserve">Doza uzuală este de </w:t>
      </w:r>
      <w:r w:rsidRPr="00991EE1">
        <w:rPr>
          <w:rStyle w:val="Strong"/>
        </w:rPr>
        <w:t>162 mg subcutanat o dată pe săptămână</w:t>
      </w:r>
      <w:r w:rsidRPr="00991EE1">
        <w:t>, în asociere cu reducerea progresivă a glucocorticoizilor</w:t>
      </w:r>
      <w:r>
        <w:t xml:space="preserve"> care în acest caz ar putea fi opriți după 26 de săptămâni. </w:t>
      </w:r>
      <w:r w:rsidRPr="00991EE1">
        <w:t xml:space="preserve">Durata tratamentului este, de regulă, de </w:t>
      </w:r>
      <w:r w:rsidRPr="00991EE1">
        <w:rPr>
          <w:rStyle w:val="Strong"/>
        </w:rPr>
        <w:t>12 luni</w:t>
      </w:r>
      <w:r w:rsidRPr="00991EE1">
        <w:t>, cu posibilitatea individualizării în funcție de activitatea bolii, recăderi, afectarea de vase mari și profilul de risc al pacientului.</w:t>
      </w:r>
    </w:p>
    <w:p w14:paraId="0E63BF8B" w14:textId="47F5320E" w:rsidR="0008785B" w:rsidRPr="008D6F38" w:rsidRDefault="00991EE1" w:rsidP="008D6F38">
      <w:pPr>
        <w:pStyle w:val="NormalWeb"/>
        <w:spacing w:line="360" w:lineRule="auto"/>
        <w:ind w:firstLine="720"/>
        <w:jc w:val="both"/>
        <w:rPr>
          <w:b/>
          <w:bCs/>
        </w:rPr>
      </w:pPr>
      <w:r w:rsidRPr="008D6F38">
        <w:rPr>
          <w:rStyle w:val="Strong"/>
          <w:b w:val="0"/>
          <w:bCs w:val="0"/>
        </w:rPr>
        <w:t xml:space="preserve">Upadacitinibul (inhibitor de Janus kinază) reprezintă o altă opțiune terapeutică utilizată în asociere cu cortizonul permițând, de asemenea, scăderea progresivă cu posibilitatea de oprire la 26 de săptămâni. Doza recomandată este de 15 mg oral o dată pe zi. Poate fi luat în considerare la pacienții la care se urmărește reducerea expunerii la glucocorticoizi, inclusiv la </w:t>
      </w:r>
      <w:r w:rsidRPr="008D6F38">
        <w:rPr>
          <w:rStyle w:val="Strong"/>
          <w:b w:val="0"/>
          <w:bCs w:val="0"/>
        </w:rPr>
        <w:lastRenderedPageBreak/>
        <w:t>cei cu risc crescut de toxicitate cortizonică sau cu boală recidivantă. După întreruperea corticosteroizilor, tratamentul poate fi continuat ca monoterapie, cu reevaluarea necesității de continuare după aproximativ 52 de săptămâni în funcție de activitatea bolii și de profilul individual de risc. În ambele situații, inițierea terapiei trebuie precedată de evaluarea riscului infecțios și a comorbidităților. Pentru upadacitinib se impune atenție suplimentară la riscul cardiovascular, tromboembolic, infecțios și neoplazic, mai ales la pacienții vârstnici</w:t>
      </w:r>
      <w:r w:rsidR="008D6F38">
        <w:rPr>
          <w:rStyle w:val="Strong"/>
          <w:b w:val="0"/>
          <w:bCs w:val="0"/>
        </w:rPr>
        <w:t>.</w:t>
      </w:r>
    </w:p>
    <w:p w14:paraId="23B7E401" w14:textId="232A4975" w:rsidR="00A54DA8" w:rsidRDefault="00A54DA8" w:rsidP="004D18AD">
      <w:pPr>
        <w:pStyle w:val="NormalWeb"/>
        <w:spacing w:line="360" w:lineRule="auto"/>
        <w:ind w:firstLine="360"/>
        <w:jc w:val="both"/>
      </w:pPr>
      <w:r w:rsidRPr="00A54DA8">
        <w:t>Criterii</w:t>
      </w:r>
      <w:r w:rsidR="004D18AD">
        <w:t>le</w:t>
      </w:r>
      <w:r w:rsidRPr="00A54DA8">
        <w:t xml:space="preserve"> </w:t>
      </w:r>
      <w:r>
        <w:t>pentru</w:t>
      </w:r>
      <w:r w:rsidRPr="00A54DA8">
        <w:t xml:space="preserve"> includerea unui pacient în tratament</w:t>
      </w:r>
      <w:r>
        <w:t xml:space="preserve"> </w:t>
      </w:r>
      <w:r w:rsidRPr="00A54DA8">
        <w:t>(</w:t>
      </w:r>
      <w:r>
        <w:t>adaptat după</w:t>
      </w:r>
      <w:r w:rsidRPr="00A54DA8">
        <w:t xml:space="preserve"> </w:t>
      </w:r>
      <w:r w:rsidRPr="00A54DA8">
        <w:rPr>
          <w:b/>
          <w:bCs/>
        </w:rPr>
        <w:t>P</w:t>
      </w:r>
      <w:r w:rsidRPr="00A54DA8">
        <w:rPr>
          <w:rStyle w:val="Strong"/>
        </w:rPr>
        <w:t>rotocol terapeutic</w:t>
      </w:r>
      <w:r>
        <w:rPr>
          <w:rStyle w:val="Strong"/>
        </w:rPr>
        <w:t xml:space="preserve"> național</w:t>
      </w:r>
      <w:r w:rsidRPr="00A54DA8">
        <w:rPr>
          <w:rStyle w:val="Strong"/>
        </w:rPr>
        <w:t xml:space="preserve"> corespunzător poziției nr.</w:t>
      </w:r>
      <w:r w:rsidRPr="00A54DA8">
        <w:t xml:space="preserve"> </w:t>
      </w:r>
      <w:r w:rsidRPr="00A54DA8">
        <w:rPr>
          <w:rStyle w:val="Strong"/>
        </w:rPr>
        <w:t>45: L04AC07–L04AF03 — Arterita cu celule gigante</w:t>
      </w:r>
      <w:r w:rsidRPr="00A54DA8">
        <w:t xml:space="preserve"> publicat </w:t>
      </w:r>
      <w:r>
        <w:t xml:space="preserve">în Monitorul Oficial aprilie </w:t>
      </w:r>
      <w:r w:rsidRPr="00A54DA8">
        <w:t>2026)</w:t>
      </w:r>
      <w:r w:rsidR="004D18AD">
        <w:t>:</w:t>
      </w:r>
    </w:p>
    <w:p w14:paraId="60B2D028" w14:textId="77777777" w:rsidR="00A54DA8" w:rsidRPr="00A54DA8" w:rsidRDefault="00A54DA8" w:rsidP="00A54DA8">
      <w:pPr>
        <w:numPr>
          <w:ilvl w:val="0"/>
          <w:numId w:val="22"/>
        </w:numPr>
        <w:spacing w:before="100" w:beforeAutospacing="1" w:after="100" w:afterAutospacing="1" w:line="240" w:lineRule="auto"/>
        <w:rPr>
          <w:rFonts w:ascii="Times New Roman" w:eastAsia="Times New Roman" w:hAnsi="Times New Roman" w:cs="Times New Roman"/>
          <w:b/>
          <w:bCs/>
          <w:sz w:val="24"/>
          <w:szCs w:val="24"/>
          <w:lang w:val="ro-RO" w:eastAsia="ro-RO"/>
        </w:rPr>
      </w:pPr>
      <w:r w:rsidRPr="00A54DA8">
        <w:rPr>
          <w:rFonts w:ascii="Times New Roman" w:eastAsia="Times New Roman" w:hAnsi="Times New Roman" w:cs="Times New Roman"/>
          <w:b/>
          <w:bCs/>
          <w:sz w:val="24"/>
          <w:szCs w:val="24"/>
          <w:lang w:val="ro-RO" w:eastAsia="ro-RO"/>
        </w:rPr>
        <w:t>Diagnostic confirmat de arterită cu celule gigante (ACG).</w:t>
      </w:r>
    </w:p>
    <w:p w14:paraId="46E8678C" w14:textId="77777777" w:rsidR="00A54DA8" w:rsidRPr="00A54DA8" w:rsidRDefault="00A54DA8" w:rsidP="00A54DA8">
      <w:pPr>
        <w:numPr>
          <w:ilvl w:val="0"/>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b/>
          <w:bCs/>
          <w:sz w:val="24"/>
          <w:szCs w:val="24"/>
          <w:lang w:val="ro-RO" w:eastAsia="ro-RO"/>
        </w:rPr>
        <w:t>Forme active de boală</w:t>
      </w:r>
      <w:r w:rsidRPr="00A54DA8">
        <w:rPr>
          <w:rFonts w:ascii="Times New Roman" w:eastAsia="Times New Roman" w:hAnsi="Times New Roman" w:cs="Times New Roman"/>
          <w:sz w:val="24"/>
          <w:szCs w:val="24"/>
          <w:lang w:val="ro-RO" w:eastAsia="ro-RO"/>
        </w:rPr>
        <w:t>, definite prin prezența semnelor și/sau simptomelor de ACG și/sau:</w:t>
      </w:r>
    </w:p>
    <w:p w14:paraId="5CD9379B" w14:textId="414C7DB6" w:rsidR="00A54DA8" w:rsidRPr="00A54DA8" w:rsidRDefault="00A54DA8" w:rsidP="00A54DA8">
      <w:pPr>
        <w:numPr>
          <w:ilvl w:val="1"/>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VSH ≥ 30 mm/h</w:t>
      </w:r>
      <w:r w:rsidRPr="00A54DA8">
        <w:rPr>
          <w:rFonts w:ascii="Times New Roman" w:eastAsia="Times New Roman" w:hAnsi="Times New Roman" w:cs="Times New Roman"/>
          <w:sz w:val="24"/>
          <w:szCs w:val="24"/>
          <w:lang w:val="ro-RO" w:eastAsia="ro-RO"/>
        </w:rPr>
        <w:br/>
        <w:t>și/sau</w:t>
      </w:r>
    </w:p>
    <w:p w14:paraId="143715AB" w14:textId="77777777" w:rsidR="00A54DA8" w:rsidRPr="00A54DA8" w:rsidRDefault="00A54DA8" w:rsidP="00A54DA8">
      <w:pPr>
        <w:numPr>
          <w:ilvl w:val="1"/>
          <w:numId w:val="22"/>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CRP ≥ limita superioară a valorilor normale.</w:t>
      </w:r>
    </w:p>
    <w:p w14:paraId="20470B3A" w14:textId="77777777" w:rsidR="00A54DA8" w:rsidRPr="00A54DA8" w:rsidRDefault="00A54DA8" w:rsidP="00A54DA8">
      <w:p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b/>
          <w:bCs/>
          <w:sz w:val="24"/>
          <w:szCs w:val="24"/>
          <w:lang w:val="ro-RO" w:eastAsia="ro-RO"/>
        </w:rPr>
        <w:t>Simptome sugestive de activitate a bolii</w:t>
      </w:r>
      <w:r w:rsidRPr="00A54DA8">
        <w:rPr>
          <w:rFonts w:ascii="Times New Roman" w:eastAsia="Times New Roman" w:hAnsi="Times New Roman" w:cs="Times New Roman"/>
          <w:sz w:val="24"/>
          <w:szCs w:val="24"/>
          <w:lang w:val="ro-RO" w:eastAsia="ro-RO"/>
        </w:rPr>
        <w:t xml:space="preserve"> — de exemplu:</w:t>
      </w:r>
    </w:p>
    <w:p w14:paraId="60867C32" w14:textId="07971408"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 xml:space="preserve">debut nou </w:t>
      </w:r>
      <w:r w:rsidR="004D18AD">
        <w:rPr>
          <w:rFonts w:ascii="Times New Roman" w:eastAsia="Times New Roman" w:hAnsi="Times New Roman" w:cs="Times New Roman"/>
          <w:sz w:val="24"/>
          <w:szCs w:val="24"/>
          <w:lang w:val="ro-RO" w:eastAsia="ro-RO"/>
        </w:rPr>
        <w:t>al</w:t>
      </w:r>
      <w:r w:rsidRPr="00A54DA8">
        <w:rPr>
          <w:rFonts w:ascii="Times New Roman" w:eastAsia="Times New Roman" w:hAnsi="Times New Roman" w:cs="Times New Roman"/>
          <w:sz w:val="24"/>
          <w:szCs w:val="24"/>
          <w:lang w:val="ro-RO" w:eastAsia="ro-RO"/>
        </w:rPr>
        <w:t xml:space="preserve"> cefalee</w:t>
      </w:r>
      <w:r w:rsidR="004D18AD">
        <w:rPr>
          <w:rFonts w:ascii="Times New Roman" w:eastAsia="Times New Roman" w:hAnsi="Times New Roman" w:cs="Times New Roman"/>
          <w:sz w:val="24"/>
          <w:szCs w:val="24"/>
          <w:lang w:val="ro-RO" w:eastAsia="ro-RO"/>
        </w:rPr>
        <w:t>i</w:t>
      </w:r>
      <w:r w:rsidRPr="00A54DA8">
        <w:rPr>
          <w:rFonts w:ascii="Times New Roman" w:eastAsia="Times New Roman" w:hAnsi="Times New Roman" w:cs="Times New Roman"/>
          <w:sz w:val="24"/>
          <w:szCs w:val="24"/>
          <w:lang w:val="ro-RO" w:eastAsia="ro-RO"/>
        </w:rPr>
        <w:t xml:space="preserve"> localizat</w:t>
      </w:r>
      <w:r w:rsidR="004D18AD">
        <w:rPr>
          <w:rFonts w:ascii="Times New Roman" w:eastAsia="Times New Roman" w:hAnsi="Times New Roman" w:cs="Times New Roman"/>
          <w:sz w:val="24"/>
          <w:szCs w:val="24"/>
          <w:lang w:val="ro-RO" w:eastAsia="ro-RO"/>
        </w:rPr>
        <w:t>e</w:t>
      </w:r>
      <w:r w:rsidRPr="00A54DA8">
        <w:rPr>
          <w:rFonts w:ascii="Times New Roman" w:eastAsia="Times New Roman" w:hAnsi="Times New Roman" w:cs="Times New Roman"/>
          <w:sz w:val="24"/>
          <w:szCs w:val="24"/>
          <w:lang w:val="ro-RO" w:eastAsia="ro-RO"/>
        </w:rPr>
        <w:t xml:space="preserve"> persistent</w:t>
      </w:r>
      <w:r w:rsidR="004D18AD">
        <w:rPr>
          <w:rFonts w:ascii="Times New Roman" w:eastAsia="Times New Roman" w:hAnsi="Times New Roman" w:cs="Times New Roman"/>
          <w:sz w:val="24"/>
          <w:szCs w:val="24"/>
          <w:lang w:val="ro-RO" w:eastAsia="ro-RO"/>
        </w:rPr>
        <w:t>e</w:t>
      </w:r>
      <w:r w:rsidRPr="00A54DA8">
        <w:rPr>
          <w:rFonts w:ascii="Times New Roman" w:eastAsia="Times New Roman" w:hAnsi="Times New Roman" w:cs="Times New Roman"/>
          <w:sz w:val="24"/>
          <w:szCs w:val="24"/>
          <w:lang w:val="ro-RO" w:eastAsia="ro-RO"/>
        </w:rPr>
        <w:t>;</w:t>
      </w:r>
    </w:p>
    <w:p w14:paraId="225778FC" w14:textId="77777777"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simptome constituționale: scădere ponderală &gt; 2 kg, febră joasă, fatigabilitate, transpirații nocturne;</w:t>
      </w:r>
    </w:p>
    <w:p w14:paraId="10C927D4" w14:textId="77777777"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claudicație de mandibulă și/sau limbă;</w:t>
      </w:r>
    </w:p>
    <w:p w14:paraId="1009A00C" w14:textId="77777777"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simptome vizuale acute: amauroză fugace, scăderea acuității vizuale, diplopie;</w:t>
      </w:r>
    </w:p>
    <w:p w14:paraId="5C4DB065" w14:textId="77777777"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simptome de polimialgie reumatică;</w:t>
      </w:r>
    </w:p>
    <w:p w14:paraId="2B74E9D6" w14:textId="77777777" w:rsidR="00A54DA8" w:rsidRPr="00A54DA8" w:rsidRDefault="00A54DA8" w:rsidP="00A54DA8">
      <w:pPr>
        <w:numPr>
          <w:ilvl w:val="0"/>
          <w:numId w:val="23"/>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claudicație de membre.</w:t>
      </w:r>
    </w:p>
    <w:p w14:paraId="3F3B73BC" w14:textId="77777777" w:rsidR="00A54DA8" w:rsidRPr="00A54DA8" w:rsidRDefault="00A54DA8" w:rsidP="00A54DA8">
      <w:p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b/>
          <w:bCs/>
          <w:sz w:val="24"/>
          <w:szCs w:val="24"/>
          <w:lang w:val="ro-RO" w:eastAsia="ro-RO"/>
        </w:rPr>
        <w:t>Semne sugestive de activitate a bolii</w:t>
      </w:r>
      <w:r w:rsidRPr="00A54DA8">
        <w:rPr>
          <w:rFonts w:ascii="Times New Roman" w:eastAsia="Times New Roman" w:hAnsi="Times New Roman" w:cs="Times New Roman"/>
          <w:sz w:val="24"/>
          <w:szCs w:val="24"/>
          <w:lang w:val="ro-RO" w:eastAsia="ro-RO"/>
        </w:rPr>
        <w:t xml:space="preserve"> — de exemplu:</w:t>
      </w:r>
    </w:p>
    <w:p w14:paraId="66D3C797" w14:textId="77777777" w:rsidR="00A54DA8" w:rsidRPr="00A54DA8" w:rsidRDefault="00A54DA8" w:rsidP="00A54DA8">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sensibilitate și/sau îngroșarea arterelor temporale superficiale, cu sau fără reducerea pulsațiilor;</w:t>
      </w:r>
    </w:p>
    <w:p w14:paraId="659CD2F4" w14:textId="77777777" w:rsidR="00A54DA8" w:rsidRPr="00A54DA8" w:rsidRDefault="00A54DA8" w:rsidP="00A54DA8">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sensibilitatea scalpului;</w:t>
      </w:r>
    </w:p>
    <w:p w14:paraId="4C55D872" w14:textId="77777777" w:rsidR="00A54DA8" w:rsidRPr="00A54DA8" w:rsidRDefault="00A54DA8" w:rsidP="00A54DA8">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scăderea pulsului și/sau a tensiunii arteriale la nivelul membrelor superioare;</w:t>
      </w:r>
    </w:p>
    <w:p w14:paraId="5E299BF7" w14:textId="7275F131" w:rsidR="00A54DA8" w:rsidRPr="004D18AD" w:rsidRDefault="00A54DA8" w:rsidP="004D18AD">
      <w:pPr>
        <w:numPr>
          <w:ilvl w:val="0"/>
          <w:numId w:val="24"/>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modificări patologice la examinarea oftalmologică, inclusiv neuropatie optică ischemică anterioară, pareză/paralizie de nerv oculomotor sau ocluzie de arteră centrală a retinei.</w:t>
      </w:r>
    </w:p>
    <w:p w14:paraId="7D513B54" w14:textId="77777777" w:rsidR="00A54DA8" w:rsidRPr="00A54DA8" w:rsidRDefault="00A54DA8" w:rsidP="00A54DA8">
      <w:pPr>
        <w:spacing w:before="100" w:beforeAutospacing="1" w:after="100" w:afterAutospacing="1" w:line="240" w:lineRule="auto"/>
        <w:outlineLvl w:val="2"/>
        <w:rPr>
          <w:rFonts w:ascii="Times New Roman" w:eastAsia="Times New Roman" w:hAnsi="Times New Roman" w:cs="Times New Roman"/>
          <w:b/>
          <w:bCs/>
          <w:sz w:val="27"/>
          <w:szCs w:val="27"/>
          <w:lang w:val="ro-RO" w:eastAsia="ro-RO"/>
        </w:rPr>
      </w:pPr>
      <w:r w:rsidRPr="00A54DA8">
        <w:rPr>
          <w:rFonts w:ascii="Times New Roman" w:eastAsia="Times New Roman" w:hAnsi="Times New Roman" w:cs="Times New Roman"/>
          <w:b/>
          <w:bCs/>
          <w:sz w:val="27"/>
          <w:szCs w:val="27"/>
          <w:lang w:val="ro-RO" w:eastAsia="ro-RO"/>
        </w:rPr>
        <w:t>Criterii de excludere</w:t>
      </w:r>
    </w:p>
    <w:p w14:paraId="305DF53C" w14:textId="77777777" w:rsidR="00A54DA8" w:rsidRPr="00A54DA8" w:rsidRDefault="00A54DA8" w:rsidP="00A54DA8">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ACG tratată anterior cu tocilizumab 162 mg, la care pacientul nu a răspuns.</w:t>
      </w:r>
    </w:p>
    <w:p w14:paraId="1F95D20B" w14:textId="77777777" w:rsidR="00A54DA8" w:rsidRPr="00A54DA8" w:rsidRDefault="00A54DA8" w:rsidP="00A54DA8">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Valori inițiale ale ALT sau AST &gt; 5 × LSN.</w:t>
      </w:r>
    </w:p>
    <w:p w14:paraId="51A7C244" w14:textId="77777777" w:rsidR="00A54DA8" w:rsidRPr="00A54DA8" w:rsidRDefault="00A54DA8" w:rsidP="00A54DA8">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Lipsa sau retragerea consimțământului pacientului față de tratament.</w:t>
      </w:r>
    </w:p>
    <w:p w14:paraId="2BD4957A" w14:textId="77777777" w:rsidR="00A54DA8" w:rsidRPr="00A54DA8" w:rsidRDefault="00A54DA8" w:rsidP="00A54DA8">
      <w:pPr>
        <w:numPr>
          <w:ilvl w:val="0"/>
          <w:numId w:val="25"/>
        </w:numPr>
        <w:spacing w:before="100" w:beforeAutospacing="1" w:after="100" w:afterAutospacing="1" w:line="240" w:lineRule="auto"/>
        <w:rPr>
          <w:rFonts w:ascii="Times New Roman" w:eastAsia="Times New Roman" w:hAnsi="Times New Roman" w:cs="Times New Roman"/>
          <w:sz w:val="24"/>
          <w:szCs w:val="24"/>
          <w:lang w:val="ro-RO" w:eastAsia="ro-RO"/>
        </w:rPr>
      </w:pPr>
      <w:r w:rsidRPr="00A54DA8">
        <w:rPr>
          <w:rFonts w:ascii="Times New Roman" w:eastAsia="Times New Roman" w:hAnsi="Times New Roman" w:cs="Times New Roman"/>
          <w:sz w:val="24"/>
          <w:szCs w:val="24"/>
          <w:lang w:val="ro-RO" w:eastAsia="ro-RO"/>
        </w:rPr>
        <w:t>Pierderea calității de asigurat.</w:t>
      </w:r>
    </w:p>
    <w:p w14:paraId="15773CF1" w14:textId="77777777" w:rsidR="00C574F3" w:rsidRDefault="00C574F3" w:rsidP="00C574F3">
      <w:pPr>
        <w:pStyle w:val="NormalWeb"/>
      </w:pPr>
      <w:r>
        <w:rPr>
          <w:rStyle w:val="Strong"/>
        </w:rPr>
        <w:lastRenderedPageBreak/>
        <w:t>Monitorizarea tratamentului cu tocilizumab 162 mg / upadacitinib 15 mg în ACG</w:t>
      </w:r>
    </w:p>
    <w:p w14:paraId="1A69B84E" w14:textId="77777777" w:rsidR="00C574F3" w:rsidRDefault="00C574F3" w:rsidP="00C574F3">
      <w:pPr>
        <w:pStyle w:val="NormalWeb"/>
      </w:pPr>
      <w:r>
        <w:t>Pacienții trebuie monitorizați periodic pentru:</w:t>
      </w:r>
    </w:p>
    <w:p w14:paraId="64D03823" w14:textId="77777777" w:rsidR="00C574F3" w:rsidRDefault="00C574F3" w:rsidP="00C574F3">
      <w:pPr>
        <w:pStyle w:val="NormalWeb"/>
        <w:numPr>
          <w:ilvl w:val="0"/>
          <w:numId w:val="26"/>
        </w:numPr>
      </w:pPr>
      <w:r>
        <w:t>evaluarea răspunsului terapeutic;</w:t>
      </w:r>
    </w:p>
    <w:p w14:paraId="23069293" w14:textId="77777777" w:rsidR="00C574F3" w:rsidRDefault="00C574F3" w:rsidP="00C574F3">
      <w:pPr>
        <w:pStyle w:val="NormalWeb"/>
        <w:numPr>
          <w:ilvl w:val="0"/>
          <w:numId w:val="26"/>
        </w:numPr>
      </w:pPr>
      <w:r>
        <w:t>identificarea reacțiilor adverse;</w:t>
      </w:r>
    </w:p>
    <w:p w14:paraId="4E31CE8B" w14:textId="77777777" w:rsidR="00C574F3" w:rsidRDefault="00C574F3" w:rsidP="00C574F3">
      <w:pPr>
        <w:pStyle w:val="NormalWeb"/>
        <w:numPr>
          <w:ilvl w:val="0"/>
          <w:numId w:val="26"/>
        </w:numPr>
      </w:pPr>
      <w:r>
        <w:t>depistarea precoce a episoadelor de acutizare;</w:t>
      </w:r>
    </w:p>
    <w:p w14:paraId="67CD8CBA" w14:textId="77777777" w:rsidR="00C574F3" w:rsidRDefault="00C574F3" w:rsidP="00C574F3">
      <w:pPr>
        <w:pStyle w:val="NormalWeb"/>
        <w:numPr>
          <w:ilvl w:val="0"/>
          <w:numId w:val="26"/>
        </w:numPr>
      </w:pPr>
      <w:r>
        <w:t>ghidarea reducerii progresive a glucocorticoizilor.</w:t>
      </w:r>
    </w:p>
    <w:p w14:paraId="539C9A6E" w14:textId="77777777" w:rsidR="00C574F3" w:rsidRDefault="00C574F3" w:rsidP="00C574F3">
      <w:pPr>
        <w:pStyle w:val="NormalWeb"/>
      </w:pPr>
      <w:r>
        <w:rPr>
          <w:rStyle w:val="Strong"/>
        </w:rPr>
        <w:t>Monitorizare clinică:</w:t>
      </w:r>
    </w:p>
    <w:p w14:paraId="39DD4627" w14:textId="77777777" w:rsidR="00C574F3" w:rsidRDefault="00C574F3" w:rsidP="00C574F3">
      <w:pPr>
        <w:pStyle w:val="NormalWeb"/>
        <w:numPr>
          <w:ilvl w:val="0"/>
          <w:numId w:val="27"/>
        </w:numPr>
      </w:pPr>
      <w:r>
        <w:t>cefalee nou apărută sau persistentă;</w:t>
      </w:r>
    </w:p>
    <w:p w14:paraId="78D917FD" w14:textId="77777777" w:rsidR="00C574F3" w:rsidRDefault="00C574F3" w:rsidP="00C574F3">
      <w:pPr>
        <w:pStyle w:val="NormalWeb"/>
        <w:numPr>
          <w:ilvl w:val="0"/>
          <w:numId w:val="27"/>
        </w:numPr>
      </w:pPr>
      <w:r>
        <w:t>claudicație mandibulară, linguală sau de membre;</w:t>
      </w:r>
    </w:p>
    <w:p w14:paraId="3B7A2C3D" w14:textId="77777777" w:rsidR="00C574F3" w:rsidRDefault="00C574F3" w:rsidP="00C574F3">
      <w:pPr>
        <w:pStyle w:val="NormalWeb"/>
        <w:numPr>
          <w:ilvl w:val="0"/>
          <w:numId w:val="27"/>
        </w:numPr>
      </w:pPr>
      <w:r>
        <w:t>simptome vizuale;</w:t>
      </w:r>
    </w:p>
    <w:p w14:paraId="58FFE638" w14:textId="77777777" w:rsidR="00C574F3" w:rsidRDefault="00C574F3" w:rsidP="00C574F3">
      <w:pPr>
        <w:pStyle w:val="NormalWeb"/>
        <w:numPr>
          <w:ilvl w:val="0"/>
          <w:numId w:val="27"/>
        </w:numPr>
      </w:pPr>
      <w:r>
        <w:t>simptome constituționale;</w:t>
      </w:r>
    </w:p>
    <w:p w14:paraId="6C2FC5D0" w14:textId="77777777" w:rsidR="00C574F3" w:rsidRDefault="00C574F3" w:rsidP="00C574F3">
      <w:pPr>
        <w:pStyle w:val="NormalWeb"/>
        <w:numPr>
          <w:ilvl w:val="0"/>
          <w:numId w:val="27"/>
        </w:numPr>
      </w:pPr>
      <w:r>
        <w:t>simptome de polimialgie reumatică;</w:t>
      </w:r>
    </w:p>
    <w:p w14:paraId="7FC4A3BC" w14:textId="77777777" w:rsidR="00C574F3" w:rsidRDefault="00C574F3" w:rsidP="00C574F3">
      <w:pPr>
        <w:pStyle w:val="NormalWeb"/>
        <w:numPr>
          <w:ilvl w:val="0"/>
          <w:numId w:val="27"/>
        </w:numPr>
      </w:pPr>
      <w:r>
        <w:t>sensibilitate/îngroșare arteră temporală;</w:t>
      </w:r>
    </w:p>
    <w:p w14:paraId="35CA6825" w14:textId="77777777" w:rsidR="00C574F3" w:rsidRDefault="00C574F3" w:rsidP="00C574F3">
      <w:pPr>
        <w:pStyle w:val="NormalWeb"/>
        <w:numPr>
          <w:ilvl w:val="0"/>
          <w:numId w:val="27"/>
        </w:numPr>
      </w:pPr>
      <w:r>
        <w:t>diferențe de puls sau tensiune arterială între membre.</w:t>
      </w:r>
    </w:p>
    <w:p w14:paraId="310A2F3B" w14:textId="77777777" w:rsidR="00C574F3" w:rsidRDefault="00C574F3" w:rsidP="00C574F3">
      <w:pPr>
        <w:pStyle w:val="NormalWeb"/>
      </w:pPr>
      <w:r>
        <w:rPr>
          <w:rStyle w:val="Strong"/>
        </w:rPr>
        <w:t>Monitorizare biologică:</w:t>
      </w:r>
    </w:p>
    <w:p w14:paraId="6EC2B177" w14:textId="77777777" w:rsidR="00C574F3" w:rsidRDefault="00C574F3" w:rsidP="00C574F3">
      <w:pPr>
        <w:pStyle w:val="NormalWeb"/>
        <w:numPr>
          <w:ilvl w:val="0"/>
          <w:numId w:val="28"/>
        </w:numPr>
      </w:pPr>
      <w:r>
        <w:t>VSH, CRP;</w:t>
      </w:r>
    </w:p>
    <w:p w14:paraId="3E1F0390" w14:textId="77777777" w:rsidR="00C574F3" w:rsidRDefault="00C574F3" w:rsidP="00C574F3">
      <w:pPr>
        <w:pStyle w:val="NormalWeb"/>
        <w:numPr>
          <w:ilvl w:val="0"/>
          <w:numId w:val="28"/>
        </w:numPr>
      </w:pPr>
      <w:r>
        <w:t>hemogramă;</w:t>
      </w:r>
    </w:p>
    <w:p w14:paraId="46D8835A" w14:textId="77777777" w:rsidR="00C574F3" w:rsidRDefault="00C574F3" w:rsidP="00C574F3">
      <w:pPr>
        <w:pStyle w:val="NormalWeb"/>
        <w:numPr>
          <w:ilvl w:val="0"/>
          <w:numId w:val="28"/>
        </w:numPr>
      </w:pPr>
      <w:r>
        <w:t>transaminaze;</w:t>
      </w:r>
    </w:p>
    <w:p w14:paraId="7B33FDF1" w14:textId="77777777" w:rsidR="00C574F3" w:rsidRDefault="00C574F3" w:rsidP="00C574F3">
      <w:pPr>
        <w:pStyle w:val="NormalWeb"/>
        <w:numPr>
          <w:ilvl w:val="0"/>
          <w:numId w:val="28"/>
        </w:numPr>
      </w:pPr>
      <w:r>
        <w:t>profil lipidic.</w:t>
      </w:r>
    </w:p>
    <w:p w14:paraId="14A1F61F" w14:textId="77777777" w:rsidR="00C574F3" w:rsidRDefault="00C574F3" w:rsidP="008C1AEA">
      <w:pPr>
        <w:pStyle w:val="NormalWeb"/>
        <w:spacing w:line="360" w:lineRule="auto"/>
        <w:ind w:firstLine="360"/>
        <w:jc w:val="both"/>
      </w:pPr>
      <w:r>
        <w:t xml:space="preserve">Pentru </w:t>
      </w:r>
      <w:r>
        <w:rPr>
          <w:rStyle w:val="Strong"/>
        </w:rPr>
        <w:t>upadacitinib</w:t>
      </w:r>
      <w:r>
        <w:t>, se recomandă evaluarea suplimentară a riscului infecțios, cardiovascular, tromboembolic și neoplazic, mai ales la pacienții vârstnici sau cu factori de risc.</w:t>
      </w:r>
    </w:p>
    <w:p w14:paraId="246BC893" w14:textId="77777777" w:rsidR="00C574F3" w:rsidRDefault="00C574F3" w:rsidP="008C1AEA">
      <w:pPr>
        <w:pStyle w:val="NormalWeb"/>
        <w:spacing w:line="360" w:lineRule="auto"/>
        <w:ind w:firstLine="360"/>
        <w:jc w:val="both"/>
      </w:pPr>
      <w:r>
        <w:rPr>
          <w:rStyle w:val="Strong"/>
        </w:rPr>
        <w:t>Evaluarea eficacității:</w:t>
      </w:r>
      <w:r>
        <w:t xml:space="preserve"> absența episoadelor de acutizare, definite prin reapariția semnelor/simptomelor de ACG și/sau VSH ≥ 30 mm/h și/sau CRP peste limita superioară a valorilor normale.</w:t>
      </w:r>
      <w:r w:rsidR="005D085E">
        <w:t xml:space="preserve"> </w:t>
      </w:r>
      <w:r>
        <w:t>În caz de acutizare a bolii, este necesară reevaluarea clinică și paraclinică a pacientului, cu ajustarea temporară a dozei de glucocorticoizi în funcție de severitatea manifestărilor. Tratamentul cu tocilizumab sau upadacitinib poate fi continuat dacă răspunsul terapeutic este considerat parțial și profilul de siguranță este favorabil. În absența unui răspuns adecvat, în cazul persistenței activității bolii sau la apariția unor reacții adverse relevante, se poate lua în considerare schimbarea strategiei terapeutice, inclusiv trecerea de la tocilizumab la upadacitinib sau invers, conform indicației medicului curant și după reevaluarea raportului beneficiu-risc.</w:t>
      </w:r>
      <w:bookmarkStart w:id="7" w:name="_Hlk63100401"/>
    </w:p>
    <w:bookmarkEnd w:id="7"/>
    <w:p w14:paraId="01CA0240" w14:textId="6AA4DDFE" w:rsidR="00634F8F" w:rsidRPr="00634F8F" w:rsidRDefault="008D6F38" w:rsidP="00634F8F">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634F8F">
        <w:rPr>
          <w:rFonts w:ascii="Calibri" w:eastAsia="Calibri" w:hAnsi="Calibri" w:cs="Times New Roman"/>
          <w:noProof/>
        </w:rPr>
        <w:lastRenderedPageBreak/>
        <w:drawing>
          <wp:inline distT="0" distB="0" distL="0" distR="0" wp14:anchorId="51E54EAF" wp14:editId="164F725B">
            <wp:extent cx="5731510" cy="3091726"/>
            <wp:effectExtent l="0" t="0" r="2540" b="0"/>
            <wp:docPr id="1" name="Graf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5731510" cy="3091726"/>
                    </a:xfrm>
                    <a:prstGeom prst="rect">
                      <a:avLst/>
                    </a:prstGeom>
                  </pic:spPr>
                </pic:pic>
              </a:graphicData>
            </a:graphic>
          </wp:inline>
        </w:drawing>
      </w:r>
    </w:p>
    <w:p w14:paraId="3DC5058D" w14:textId="23F6450E" w:rsidR="00634F8F" w:rsidRPr="007A6E1E" w:rsidRDefault="00634F8F" w:rsidP="007A6E1E">
      <w:pPr>
        <w:pStyle w:val="NormalWeb"/>
        <w:spacing w:line="360" w:lineRule="auto"/>
        <w:ind w:firstLine="708"/>
        <w:jc w:val="both"/>
      </w:pPr>
      <w:r w:rsidRPr="00634F8F">
        <w:rPr>
          <w:rFonts w:eastAsia="Calibri"/>
          <w:color w:val="231F20"/>
        </w:rPr>
        <w:tab/>
      </w:r>
      <w:r w:rsidR="008C1AEA" w:rsidRPr="008C1AEA">
        <w:rPr>
          <w:rFonts w:eastAsia="Calibri"/>
          <w:b/>
          <w:bCs/>
          <w:color w:val="231F20"/>
        </w:rPr>
        <w:t>Figura 1.</w:t>
      </w:r>
      <w:r w:rsidR="008C1AEA">
        <w:rPr>
          <w:rFonts w:eastAsia="Calibri"/>
          <w:color w:val="231F20"/>
        </w:rPr>
        <w:t xml:space="preserve"> </w:t>
      </w:r>
      <w:r w:rsidR="008C1AEA" w:rsidRPr="00634F8F">
        <w:rPr>
          <w:rFonts w:eastAsia="Calibri"/>
          <w:color w:val="231F20"/>
        </w:rPr>
        <w:t xml:space="preserve">Algoritmul de tratament al AGC conform recomandărilor EULAR 2018, adaptat după </w:t>
      </w:r>
      <w:r w:rsidR="008C1AEA" w:rsidRPr="00634F8F">
        <w:rPr>
          <w:rFonts w:eastAsia="Calibri"/>
          <w:i/>
          <w:iCs/>
          <w:color w:val="231F20"/>
        </w:rPr>
        <w:t>Hellmich B, et al 2018 Ann Rheu</w:t>
      </w:r>
      <w:r w:rsidR="008C1AEA">
        <w:rPr>
          <w:rFonts w:eastAsia="Calibri"/>
          <w:i/>
          <w:iCs/>
          <w:color w:val="231F20"/>
        </w:rPr>
        <w:t>m</w:t>
      </w:r>
      <w:r w:rsidR="008C1AEA" w:rsidRPr="00634F8F">
        <w:rPr>
          <w:rFonts w:eastAsia="Calibri"/>
          <w:i/>
          <w:iCs/>
          <w:color w:val="231F20"/>
        </w:rPr>
        <w:t xml:space="preserve"> Dis 2</w:t>
      </w:r>
      <w:r w:rsidR="008C1AEA">
        <w:rPr>
          <w:rFonts w:eastAsia="Calibri"/>
          <w:i/>
          <w:iCs/>
          <w:color w:val="231F20"/>
        </w:rPr>
        <w:t>020</w:t>
      </w:r>
    </w:p>
    <w:p w14:paraId="4A72C3D2" w14:textId="77777777" w:rsidR="00EE311A" w:rsidRPr="00E74DCA" w:rsidRDefault="00E74DCA" w:rsidP="00681E92">
      <w:pPr>
        <w:autoSpaceDE w:val="0"/>
        <w:autoSpaceDN w:val="0"/>
        <w:adjustRightInd w:val="0"/>
        <w:spacing w:after="200" w:line="360" w:lineRule="auto"/>
        <w:ind w:firstLine="708"/>
        <w:jc w:val="both"/>
        <w:rPr>
          <w:rFonts w:ascii="Times New Roman" w:eastAsia="Calibri" w:hAnsi="Times New Roman" w:cs="Times New Roman"/>
          <w:b/>
          <w:bCs/>
          <w:color w:val="231F20"/>
          <w:sz w:val="28"/>
          <w:szCs w:val="28"/>
          <w:lang w:val="ro-RO"/>
        </w:rPr>
      </w:pPr>
      <w:r w:rsidRPr="00E74DCA">
        <w:rPr>
          <w:rFonts w:ascii="Times New Roman" w:eastAsia="Calibri" w:hAnsi="Times New Roman" w:cs="Times New Roman"/>
          <w:b/>
          <w:bCs/>
          <w:color w:val="231F20"/>
          <w:sz w:val="28"/>
          <w:szCs w:val="28"/>
          <w:lang w:val="ro-RO"/>
        </w:rPr>
        <w:t>VASCULITELE DE VAS MIC</w:t>
      </w:r>
      <w:r w:rsidR="00C574F3">
        <w:rPr>
          <w:rFonts w:ascii="Times New Roman" w:eastAsia="Calibri" w:hAnsi="Times New Roman" w:cs="Times New Roman"/>
          <w:b/>
          <w:bCs/>
          <w:color w:val="231F20"/>
          <w:sz w:val="28"/>
          <w:szCs w:val="28"/>
          <w:lang w:val="ro-RO"/>
        </w:rPr>
        <w:t xml:space="preserve"> ASOCIATE</w:t>
      </w:r>
      <w:r w:rsidR="005D085E">
        <w:rPr>
          <w:rFonts w:ascii="Times New Roman" w:eastAsia="Calibri" w:hAnsi="Times New Roman" w:cs="Times New Roman"/>
          <w:b/>
          <w:bCs/>
          <w:color w:val="231F20"/>
          <w:sz w:val="28"/>
          <w:szCs w:val="28"/>
          <w:lang w:val="ro-RO"/>
        </w:rPr>
        <w:t xml:space="preserve"> ANCA</w:t>
      </w:r>
    </w:p>
    <w:p w14:paraId="2FCF38B7" w14:textId="44B95668" w:rsidR="00DA353B" w:rsidRDefault="008D51B3" w:rsidP="00C574F3">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Vasculitele ANCA pozitive sau ANCA</w:t>
      </w:r>
      <w:r w:rsidR="008C1AEA">
        <w:rPr>
          <w:rFonts w:ascii="Times New Roman" w:eastAsia="Calibri" w:hAnsi="Times New Roman" w:cs="Times New Roman"/>
          <w:color w:val="231F20"/>
          <w:sz w:val="24"/>
          <w:szCs w:val="24"/>
          <w:lang w:val="ro-RO"/>
        </w:rPr>
        <w:t>-</w:t>
      </w:r>
      <w:r>
        <w:rPr>
          <w:rFonts w:ascii="Times New Roman" w:eastAsia="Calibri" w:hAnsi="Times New Roman" w:cs="Times New Roman"/>
          <w:color w:val="231F20"/>
          <w:sz w:val="24"/>
          <w:szCs w:val="24"/>
          <w:lang w:val="ro-RO"/>
        </w:rPr>
        <w:t xml:space="preserve">asociate sunt un grup de suferințe înrudite atât din punct de vedere al etiopatogeniei, al manifestărilor clinice, </w:t>
      </w:r>
      <w:r w:rsidR="008C1AEA">
        <w:rPr>
          <w:rFonts w:ascii="Times New Roman" w:eastAsia="Calibri" w:hAnsi="Times New Roman" w:cs="Times New Roman"/>
          <w:color w:val="231F20"/>
          <w:sz w:val="24"/>
          <w:szCs w:val="24"/>
          <w:lang w:val="ro-RO"/>
        </w:rPr>
        <w:t>cât</w:t>
      </w:r>
      <w:r>
        <w:rPr>
          <w:rFonts w:ascii="Times New Roman" w:eastAsia="Calibri" w:hAnsi="Times New Roman" w:cs="Times New Roman"/>
          <w:color w:val="231F20"/>
          <w:sz w:val="24"/>
          <w:szCs w:val="24"/>
          <w:lang w:val="ro-RO"/>
        </w:rPr>
        <w:t xml:space="preserve"> și paraclinice. Conform CHCC2012</w:t>
      </w:r>
      <w:r w:rsidR="008C1AEA">
        <w:rPr>
          <w:rFonts w:ascii="Times New Roman" w:eastAsia="Calibri" w:hAnsi="Times New Roman" w:cs="Times New Roman"/>
          <w:color w:val="231F20"/>
          <w:sz w:val="24"/>
          <w:szCs w:val="24"/>
          <w:lang w:val="ro-RO"/>
        </w:rPr>
        <w:t>,</w:t>
      </w:r>
      <w:r>
        <w:rPr>
          <w:rFonts w:ascii="Times New Roman" w:eastAsia="Calibri" w:hAnsi="Times New Roman" w:cs="Times New Roman"/>
          <w:color w:val="231F20"/>
          <w:sz w:val="24"/>
          <w:szCs w:val="24"/>
          <w:lang w:val="ro-RO"/>
        </w:rPr>
        <w:t xml:space="preserve"> sunt definite ca vasculite necrotizante, cu depozite imune minime sau fără, care afectează predominant vasele mici (capilare, venule, arteriole sau artere mici) și asociază pozitivitate de p-ANCA/anti-MPO sau c-ANCA/anti-PR3. Se precizează și faptul că nu toți pacienții sunt ANCA pozitivi, cu referire în special la GEPA la care acești anticorpi sunt identificați semnificativ mai rar decât la celelalte două forme. Seronegativitatea la întregul grup este în jur de 10%. Acesta cuprinde în momentul de față trei vasculite primare: granulomatoza cu poliangiită (GPA – fosta granulomatoză Wegener), granulomatoza eozinofilică cu poliangiită (GEPA – fostul sindrom Churg–Strauss) și poliangiita microscopică (PAM)</w:t>
      </w:r>
      <w:r w:rsidR="008C1AEA">
        <w:rPr>
          <w:rFonts w:ascii="Times New Roman" w:eastAsia="Calibri" w:hAnsi="Times New Roman" w:cs="Times New Roman"/>
          <w:color w:val="231F20"/>
          <w:sz w:val="24"/>
          <w:szCs w:val="24"/>
          <w:lang w:val="ro-RO"/>
        </w:rPr>
        <w:t>,</w:t>
      </w:r>
      <w:r>
        <w:rPr>
          <w:rFonts w:ascii="Times New Roman" w:eastAsia="Calibri" w:hAnsi="Times New Roman" w:cs="Times New Roman"/>
          <w:color w:val="231F20"/>
          <w:sz w:val="24"/>
          <w:szCs w:val="24"/>
          <w:lang w:val="ro-RO"/>
        </w:rPr>
        <w:t xml:space="preserve"> la care se adaugă formele limitate la nivel renal și vasculita ANCA asociată medicamentelor</w:t>
      </w:r>
      <w:r w:rsidR="008C1AEA">
        <w:rPr>
          <w:rFonts w:ascii="Times New Roman" w:eastAsia="Calibri" w:hAnsi="Times New Roman" w:cs="Times New Roman"/>
          <w:color w:val="231F20"/>
          <w:sz w:val="24"/>
          <w:szCs w:val="24"/>
          <w:lang w:val="ro-RO"/>
        </w:rPr>
        <w:t xml:space="preserve"> (Tabelul 5)</w:t>
      </w:r>
      <w:r>
        <w:rPr>
          <w:rFonts w:ascii="Times New Roman" w:eastAsia="Calibri" w:hAnsi="Times New Roman" w:cs="Times New Roman"/>
          <w:color w:val="231F20"/>
          <w:sz w:val="24"/>
          <w:szCs w:val="24"/>
          <w:lang w:val="ro-RO"/>
        </w:rPr>
        <w:t xml:space="preserve">. </w:t>
      </w:r>
    </w:p>
    <w:p w14:paraId="3BBF8DC3" w14:textId="20A2559C" w:rsidR="00FD00C3" w:rsidRPr="00FD00C3" w:rsidRDefault="008C1AEA" w:rsidP="00FD00C3">
      <w:pPr>
        <w:spacing w:line="240" w:lineRule="auto"/>
        <w:ind w:firstLine="708"/>
        <w:jc w:val="both"/>
        <w:rPr>
          <w:rFonts w:ascii="Times New Roman" w:eastAsia="Calibri" w:hAnsi="Times New Roman" w:cs="Times New Roman"/>
          <w:sz w:val="24"/>
          <w:szCs w:val="24"/>
          <w:vertAlign w:val="superscript"/>
          <w:lang w:val="en-US"/>
        </w:rPr>
      </w:pPr>
      <w:r w:rsidRPr="008C1AEA">
        <w:rPr>
          <w:rFonts w:ascii="Times New Roman" w:eastAsia="Calibri" w:hAnsi="Times New Roman" w:cs="Times New Roman"/>
          <w:b/>
          <w:bCs/>
          <w:sz w:val="24"/>
          <w:szCs w:val="24"/>
          <w:lang w:val="en-US"/>
        </w:rPr>
        <w:t>Tabelul 5.</w:t>
      </w:r>
      <w:r>
        <w:rPr>
          <w:rFonts w:ascii="Times New Roman" w:eastAsia="Calibri" w:hAnsi="Times New Roman" w:cs="Times New Roman"/>
          <w:sz w:val="24"/>
          <w:szCs w:val="24"/>
          <w:lang w:val="en-US"/>
        </w:rPr>
        <w:t xml:space="preserve"> </w:t>
      </w:r>
      <w:r w:rsidR="00FD00C3" w:rsidRPr="00FD00C3">
        <w:rPr>
          <w:rFonts w:ascii="Times New Roman" w:eastAsia="Calibri" w:hAnsi="Times New Roman" w:cs="Times New Roman"/>
          <w:sz w:val="24"/>
          <w:szCs w:val="24"/>
          <w:lang w:val="en-US"/>
        </w:rPr>
        <w:t xml:space="preserve">Definițiile Consensului Conferinței de la Chapel Hill 2012 pentru vasculitele ANCA pozitive, </w:t>
      </w:r>
      <w:r w:rsidR="00FD00C3" w:rsidRPr="00FD00C3">
        <w:rPr>
          <w:rFonts w:ascii="Times New Roman" w:eastAsia="Calibri" w:hAnsi="Times New Roman" w:cs="Times New Roman"/>
          <w:i/>
          <w:sz w:val="24"/>
          <w:szCs w:val="24"/>
          <w:lang w:val="en-US"/>
        </w:rPr>
        <w:t>adaptat după Jennette et al</w:t>
      </w:r>
      <w:r w:rsidR="00FD00C3" w:rsidRPr="00FD00C3">
        <w:rPr>
          <w:rFonts w:ascii="Times New Roman" w:eastAsia="Times New Roman" w:hAnsi="Times New Roman" w:cs="Times New Roman"/>
          <w:i/>
          <w:color w:val="333333"/>
          <w:sz w:val="24"/>
          <w:szCs w:val="24"/>
          <w:lang w:eastAsia="ro-RO"/>
        </w:rPr>
        <w:t xml:space="preserve"> în Arthritis Rheum 201</w:t>
      </w:r>
      <w:r w:rsidR="00C574F3">
        <w:rPr>
          <w:rFonts w:ascii="Times New Roman" w:eastAsia="Times New Roman" w:hAnsi="Times New Roman" w:cs="Times New Roman"/>
          <w:i/>
          <w:color w:val="333333"/>
          <w:sz w:val="24"/>
          <w:szCs w:val="24"/>
          <w:lang w:eastAsia="ro-RO"/>
        </w:rPr>
        <w:t>2</w:t>
      </w:r>
    </w:p>
    <w:tbl>
      <w:tblPr>
        <w:tblStyle w:val="TableGrid"/>
        <w:tblW w:w="0" w:type="auto"/>
        <w:tblLook w:val="04A0" w:firstRow="1" w:lastRow="0" w:firstColumn="1" w:lastColumn="0" w:noHBand="0" w:noVBand="1"/>
      </w:tblPr>
      <w:tblGrid>
        <w:gridCol w:w="3294"/>
        <w:gridCol w:w="5722"/>
      </w:tblGrid>
      <w:tr w:rsidR="00FD00C3" w:rsidRPr="00FD00C3" w14:paraId="31502664" w14:textId="77777777" w:rsidTr="00FD00C3">
        <w:tc>
          <w:tcPr>
            <w:tcW w:w="3294" w:type="dxa"/>
          </w:tcPr>
          <w:p w14:paraId="3EAE3E0B" w14:textId="77777777" w:rsidR="00FD00C3" w:rsidRPr="00FD00C3" w:rsidRDefault="00FD00C3" w:rsidP="00FD00C3">
            <w:pPr>
              <w:spacing w:line="360" w:lineRule="auto"/>
              <w:rPr>
                <w:rFonts w:ascii="Times New Roman" w:eastAsia="Calibri" w:hAnsi="Times New Roman" w:cs="Times New Roman"/>
                <w:b/>
                <w:sz w:val="24"/>
                <w:szCs w:val="24"/>
                <w:lang w:val="en-US"/>
              </w:rPr>
            </w:pPr>
            <w:r w:rsidRPr="00FD00C3">
              <w:rPr>
                <w:rFonts w:ascii="Times New Roman" w:eastAsia="Calibri" w:hAnsi="Times New Roman" w:cs="Times New Roman"/>
                <w:b/>
                <w:sz w:val="24"/>
                <w:szCs w:val="24"/>
                <w:lang w:val="en-US"/>
              </w:rPr>
              <w:t xml:space="preserve">Granulomatoza cu poliangiită </w:t>
            </w:r>
          </w:p>
        </w:tc>
        <w:tc>
          <w:tcPr>
            <w:tcW w:w="5722" w:type="dxa"/>
          </w:tcPr>
          <w:p w14:paraId="3D8EFB6C" w14:textId="77777777" w:rsidR="00FD00C3" w:rsidRPr="00FD00C3" w:rsidRDefault="00FD00C3" w:rsidP="00FD00C3">
            <w:pPr>
              <w:spacing w:line="360" w:lineRule="auto"/>
              <w:jc w:val="both"/>
              <w:rPr>
                <w:rFonts w:ascii="Times New Roman" w:eastAsia="Calibri" w:hAnsi="Times New Roman" w:cs="Times New Roman"/>
                <w:sz w:val="24"/>
                <w:szCs w:val="24"/>
                <w:lang w:val="en-US"/>
              </w:rPr>
            </w:pPr>
            <w:r w:rsidRPr="00FD00C3">
              <w:rPr>
                <w:rFonts w:ascii="Times New Roman" w:eastAsia="Calibri" w:hAnsi="Times New Roman" w:cs="Times New Roman"/>
                <w:sz w:val="24"/>
                <w:szCs w:val="24"/>
                <w:lang w:val="en-US"/>
              </w:rPr>
              <w:t xml:space="preserve">Inflamație necrotizantă și granulomatoasă care afectează de obicei tractul respirator superior și inferior și vasculită </w:t>
            </w:r>
            <w:r w:rsidRPr="00FD00C3">
              <w:rPr>
                <w:rFonts w:ascii="Times New Roman" w:eastAsia="Calibri" w:hAnsi="Times New Roman" w:cs="Times New Roman"/>
                <w:sz w:val="24"/>
                <w:szCs w:val="24"/>
                <w:lang w:val="en-US"/>
              </w:rPr>
              <w:lastRenderedPageBreak/>
              <w:t>necrotizantă care afectează predominant vasele medii și mici (capilare, venule, arteriole, artere și vene). Glomerulonefrita necrotizantă este frecventă.</w:t>
            </w:r>
          </w:p>
        </w:tc>
      </w:tr>
      <w:tr w:rsidR="00FD00C3" w:rsidRPr="00FD00C3" w14:paraId="09DC3C32" w14:textId="77777777" w:rsidTr="00FD00C3">
        <w:tc>
          <w:tcPr>
            <w:tcW w:w="3294" w:type="dxa"/>
          </w:tcPr>
          <w:p w14:paraId="6ADDA118" w14:textId="77777777" w:rsidR="00FD00C3" w:rsidRPr="00FD00C3" w:rsidRDefault="00FD00C3" w:rsidP="00FD00C3">
            <w:pPr>
              <w:spacing w:line="360" w:lineRule="auto"/>
              <w:jc w:val="both"/>
              <w:rPr>
                <w:rFonts w:ascii="Times New Roman" w:eastAsia="Calibri" w:hAnsi="Times New Roman" w:cs="Times New Roman"/>
                <w:b/>
                <w:sz w:val="24"/>
                <w:szCs w:val="24"/>
                <w:lang w:val="en-US"/>
              </w:rPr>
            </w:pPr>
            <w:r w:rsidRPr="00FD00C3">
              <w:rPr>
                <w:rFonts w:ascii="Times New Roman" w:eastAsia="Calibri" w:hAnsi="Times New Roman" w:cs="Times New Roman"/>
                <w:b/>
                <w:sz w:val="24"/>
                <w:szCs w:val="24"/>
                <w:lang w:val="en-US"/>
              </w:rPr>
              <w:lastRenderedPageBreak/>
              <w:t xml:space="preserve">Granulomatoza eozinofilică cu poliangiită </w:t>
            </w:r>
          </w:p>
        </w:tc>
        <w:tc>
          <w:tcPr>
            <w:tcW w:w="5722" w:type="dxa"/>
          </w:tcPr>
          <w:p w14:paraId="5379FC98" w14:textId="1534AB27" w:rsidR="00FD00C3" w:rsidRPr="00FD00C3" w:rsidRDefault="00FD00C3" w:rsidP="00FD00C3">
            <w:pPr>
              <w:spacing w:after="200" w:line="360" w:lineRule="auto"/>
              <w:jc w:val="both"/>
              <w:rPr>
                <w:rFonts w:ascii="Times New Roman" w:eastAsia="Calibri" w:hAnsi="Times New Roman" w:cs="Times New Roman"/>
                <w:sz w:val="24"/>
                <w:szCs w:val="24"/>
                <w:lang w:val="en-US"/>
              </w:rPr>
            </w:pPr>
            <w:r w:rsidRPr="00FD00C3">
              <w:rPr>
                <w:rFonts w:ascii="Times New Roman" w:eastAsia="Calibri" w:hAnsi="Times New Roman" w:cs="Times New Roman"/>
                <w:sz w:val="24"/>
                <w:szCs w:val="24"/>
                <w:lang w:val="en-US"/>
              </w:rPr>
              <w:t>Inflamație eozinofilică, necrotizantă și granulomatoasă</w:t>
            </w:r>
            <w:r w:rsidR="008C1AEA">
              <w:rPr>
                <w:rFonts w:ascii="Times New Roman" w:eastAsia="Calibri" w:hAnsi="Times New Roman" w:cs="Times New Roman"/>
                <w:sz w:val="24"/>
                <w:szCs w:val="24"/>
                <w:lang w:val="en-US"/>
              </w:rPr>
              <w:t>,</w:t>
            </w:r>
            <w:r w:rsidRPr="00FD00C3">
              <w:rPr>
                <w:rFonts w:ascii="Times New Roman" w:eastAsia="Calibri" w:hAnsi="Times New Roman" w:cs="Times New Roman"/>
                <w:sz w:val="24"/>
                <w:szCs w:val="24"/>
                <w:lang w:val="en-US"/>
              </w:rPr>
              <w:t xml:space="preserve"> care afectează frecvent tractul respirator și vasculită necrotizantă care afectează predominant vasele mici și medii, asociată cu astm bronșic și eozinofilie. Prezența ANCA este identificată mai ales atunci când există afectare renală de tip glomerular.</w:t>
            </w:r>
          </w:p>
        </w:tc>
      </w:tr>
      <w:tr w:rsidR="00FD00C3" w:rsidRPr="00FD00C3" w14:paraId="7C421DD9" w14:textId="77777777" w:rsidTr="00FD00C3">
        <w:tc>
          <w:tcPr>
            <w:tcW w:w="3294" w:type="dxa"/>
          </w:tcPr>
          <w:p w14:paraId="60FE0FFF" w14:textId="77777777" w:rsidR="00FD00C3" w:rsidRPr="00FD00C3" w:rsidRDefault="00FD00C3" w:rsidP="00FD00C3">
            <w:pPr>
              <w:spacing w:line="360" w:lineRule="auto"/>
              <w:jc w:val="both"/>
              <w:rPr>
                <w:rFonts w:ascii="Times New Roman" w:eastAsia="Calibri" w:hAnsi="Times New Roman" w:cs="Times New Roman"/>
                <w:b/>
                <w:sz w:val="24"/>
                <w:szCs w:val="24"/>
                <w:lang w:val="en-US"/>
              </w:rPr>
            </w:pPr>
            <w:r w:rsidRPr="00FD00C3">
              <w:rPr>
                <w:rFonts w:ascii="Times New Roman" w:eastAsia="Calibri" w:hAnsi="Times New Roman" w:cs="Times New Roman"/>
                <w:b/>
                <w:sz w:val="24"/>
                <w:szCs w:val="24"/>
                <w:lang w:val="en-US"/>
              </w:rPr>
              <w:t xml:space="preserve">Poliangiita microscopică </w:t>
            </w:r>
          </w:p>
        </w:tc>
        <w:tc>
          <w:tcPr>
            <w:tcW w:w="5722" w:type="dxa"/>
          </w:tcPr>
          <w:p w14:paraId="0DB88E92" w14:textId="77777777" w:rsidR="00FD00C3" w:rsidRPr="00FD00C3" w:rsidRDefault="00FD00C3" w:rsidP="00FD00C3">
            <w:pPr>
              <w:spacing w:line="360" w:lineRule="auto"/>
              <w:jc w:val="both"/>
              <w:rPr>
                <w:rFonts w:ascii="Times New Roman" w:eastAsia="Calibri" w:hAnsi="Times New Roman" w:cs="Times New Roman"/>
                <w:sz w:val="24"/>
                <w:szCs w:val="24"/>
                <w:lang w:val="en-US"/>
              </w:rPr>
            </w:pPr>
            <w:r w:rsidRPr="00FD00C3">
              <w:rPr>
                <w:rFonts w:ascii="Times New Roman" w:eastAsia="Calibri" w:hAnsi="Times New Roman" w:cs="Times New Roman"/>
                <w:sz w:val="24"/>
                <w:szCs w:val="24"/>
                <w:lang w:val="en-US"/>
              </w:rPr>
              <w:t>Vasculită necrotizantă cu depozite imune minime sau fără prezența acestora, afectând predominant vasele mici (capilare, venule sau arteriole). Arterita necrotizantă care afectează vasele mici și medii poate fi prezentă. Glomerulonefrita necrotizantă este foarte frecvent întâlnită. Capilarita pulmonară poate apărea des. Inflamația granulomatoasă este absentă.</w:t>
            </w:r>
          </w:p>
        </w:tc>
      </w:tr>
    </w:tbl>
    <w:p w14:paraId="0F80117C" w14:textId="77777777" w:rsidR="00445E3F" w:rsidRDefault="00445E3F" w:rsidP="00CB27B6">
      <w:pPr>
        <w:autoSpaceDE w:val="0"/>
        <w:autoSpaceDN w:val="0"/>
        <w:adjustRightInd w:val="0"/>
        <w:spacing w:after="200" w:line="360" w:lineRule="auto"/>
        <w:ind w:firstLine="708"/>
        <w:jc w:val="both"/>
        <w:rPr>
          <w:rFonts w:ascii="Times New Roman" w:eastAsia="Calibri" w:hAnsi="Times New Roman" w:cs="Times New Roman"/>
          <w:b/>
          <w:bCs/>
          <w:color w:val="231F20"/>
          <w:sz w:val="24"/>
          <w:szCs w:val="24"/>
          <w:lang w:val="ro-RO"/>
        </w:rPr>
      </w:pPr>
    </w:p>
    <w:p w14:paraId="3F2B7B11" w14:textId="77777777" w:rsidR="00EB1257" w:rsidRDefault="00C574F3" w:rsidP="00CB27B6">
      <w:pPr>
        <w:autoSpaceDE w:val="0"/>
        <w:autoSpaceDN w:val="0"/>
        <w:adjustRightInd w:val="0"/>
        <w:spacing w:after="200" w:line="360" w:lineRule="auto"/>
        <w:ind w:firstLine="708"/>
        <w:jc w:val="both"/>
        <w:rPr>
          <w:rFonts w:ascii="Times New Roman" w:eastAsia="Calibri" w:hAnsi="Times New Roman" w:cs="Times New Roman"/>
          <w:color w:val="231F20"/>
          <w:sz w:val="24"/>
          <w:szCs w:val="24"/>
          <w:lang w:val="ro-RO"/>
        </w:rPr>
      </w:pPr>
      <w:r w:rsidRPr="00CB27B6">
        <w:rPr>
          <w:rFonts w:ascii="Times New Roman" w:eastAsia="Calibri" w:hAnsi="Times New Roman" w:cs="Times New Roman"/>
          <w:b/>
          <w:bCs/>
          <w:color w:val="231F20"/>
          <w:sz w:val="24"/>
          <w:szCs w:val="24"/>
          <w:lang w:val="ro-RO"/>
        </w:rPr>
        <w:t xml:space="preserve">Manifestările </w:t>
      </w:r>
      <w:r w:rsidR="004661CF" w:rsidRPr="00CB27B6">
        <w:rPr>
          <w:rFonts w:ascii="Times New Roman" w:eastAsia="Calibri" w:hAnsi="Times New Roman" w:cs="Times New Roman"/>
          <w:b/>
          <w:bCs/>
          <w:color w:val="231F20"/>
          <w:sz w:val="24"/>
          <w:szCs w:val="24"/>
          <w:lang w:val="ro-RO"/>
        </w:rPr>
        <w:t>clinic</w:t>
      </w:r>
      <w:r w:rsidR="00CB27B6" w:rsidRPr="00CB27B6">
        <w:rPr>
          <w:rFonts w:ascii="Times New Roman" w:eastAsia="Calibri" w:hAnsi="Times New Roman" w:cs="Times New Roman"/>
          <w:b/>
          <w:bCs/>
          <w:color w:val="231F20"/>
          <w:sz w:val="24"/>
          <w:szCs w:val="24"/>
          <w:lang w:val="ro-RO"/>
        </w:rPr>
        <w:t>e</w:t>
      </w:r>
      <w:r w:rsidR="004661CF">
        <w:rPr>
          <w:rFonts w:ascii="Times New Roman" w:eastAsia="Calibri" w:hAnsi="Times New Roman" w:cs="Times New Roman"/>
          <w:color w:val="231F20"/>
          <w:sz w:val="24"/>
          <w:szCs w:val="24"/>
          <w:lang w:val="ro-RO"/>
        </w:rPr>
        <w:t xml:space="preserve"> sunt foarte variate</w:t>
      </w:r>
      <w:r w:rsidR="00CB27B6">
        <w:rPr>
          <w:rFonts w:ascii="Times New Roman" w:eastAsia="Calibri" w:hAnsi="Times New Roman" w:cs="Times New Roman"/>
          <w:color w:val="231F20"/>
          <w:sz w:val="24"/>
          <w:szCs w:val="24"/>
          <w:lang w:val="ro-RO"/>
        </w:rPr>
        <w:t xml:space="preserve">, </w:t>
      </w:r>
      <w:r w:rsidR="00F578D9">
        <w:rPr>
          <w:rFonts w:ascii="Times New Roman" w:eastAsia="Calibri" w:hAnsi="Times New Roman" w:cs="Times New Roman"/>
          <w:color w:val="231F20"/>
          <w:sz w:val="24"/>
          <w:szCs w:val="24"/>
          <w:lang w:val="ro-RO"/>
        </w:rPr>
        <w:t xml:space="preserve">de multe ori superpozabile </w:t>
      </w:r>
      <w:r w:rsidR="00FD5ADC">
        <w:rPr>
          <w:rFonts w:ascii="Times New Roman" w:eastAsia="Calibri" w:hAnsi="Times New Roman" w:cs="Times New Roman"/>
          <w:color w:val="231F20"/>
          <w:sz w:val="24"/>
          <w:szCs w:val="24"/>
          <w:lang w:val="ro-RO"/>
        </w:rPr>
        <w:t>și imposibil de diferențiat între forme</w:t>
      </w:r>
      <w:r w:rsidR="000B0D5B">
        <w:rPr>
          <w:rFonts w:ascii="Times New Roman" w:eastAsia="Calibri" w:hAnsi="Times New Roman" w:cs="Times New Roman"/>
          <w:color w:val="231F20"/>
          <w:sz w:val="24"/>
          <w:szCs w:val="24"/>
          <w:lang w:val="ro-RO"/>
        </w:rPr>
        <w:t xml:space="preserve">. </w:t>
      </w:r>
      <w:r w:rsidR="00C5113A">
        <w:rPr>
          <w:rFonts w:ascii="Times New Roman" w:eastAsia="Calibri" w:hAnsi="Times New Roman" w:cs="Times New Roman"/>
          <w:color w:val="231F20"/>
          <w:sz w:val="24"/>
          <w:szCs w:val="24"/>
          <w:lang w:val="ro-RO"/>
        </w:rPr>
        <w:t>Semnele constituționale de tipul febrei/subfebrei, anorexiei</w:t>
      </w:r>
      <w:r w:rsidR="00445E3F">
        <w:rPr>
          <w:rFonts w:ascii="Times New Roman" w:eastAsia="Calibri" w:hAnsi="Times New Roman" w:cs="Times New Roman"/>
          <w:color w:val="231F20"/>
          <w:sz w:val="24"/>
          <w:szCs w:val="24"/>
          <w:lang w:val="ro-RO"/>
        </w:rPr>
        <w:t xml:space="preserve"> sau </w:t>
      </w:r>
      <w:r w:rsidR="00C5113A">
        <w:rPr>
          <w:rFonts w:ascii="Times New Roman" w:eastAsia="Calibri" w:hAnsi="Times New Roman" w:cs="Times New Roman"/>
          <w:color w:val="231F20"/>
          <w:sz w:val="24"/>
          <w:szCs w:val="24"/>
          <w:lang w:val="ro-RO"/>
        </w:rPr>
        <w:t xml:space="preserve">scăderii în greutate sunt </w:t>
      </w:r>
      <w:r w:rsidR="004E4C7D">
        <w:rPr>
          <w:rFonts w:ascii="Times New Roman" w:eastAsia="Calibri" w:hAnsi="Times New Roman" w:cs="Times New Roman"/>
          <w:color w:val="231F20"/>
          <w:sz w:val="24"/>
          <w:szCs w:val="24"/>
          <w:lang w:val="ro-RO"/>
        </w:rPr>
        <w:t>destul de probabile</w:t>
      </w:r>
      <w:r w:rsidR="00C5113A">
        <w:rPr>
          <w:rFonts w:ascii="Times New Roman" w:eastAsia="Calibri" w:hAnsi="Times New Roman" w:cs="Times New Roman"/>
          <w:color w:val="231F20"/>
          <w:sz w:val="24"/>
          <w:szCs w:val="24"/>
          <w:lang w:val="ro-RO"/>
        </w:rPr>
        <w:t>. Acestora li se adaugă manifestări musculo-scheletale de tipul mialgiilor</w:t>
      </w:r>
      <w:r w:rsidR="00EB1257">
        <w:rPr>
          <w:rFonts w:ascii="Times New Roman" w:eastAsia="Calibri" w:hAnsi="Times New Roman" w:cs="Times New Roman"/>
          <w:color w:val="231F20"/>
          <w:sz w:val="24"/>
          <w:szCs w:val="24"/>
          <w:lang w:val="ro-RO"/>
        </w:rPr>
        <w:t xml:space="preserve"> </w:t>
      </w:r>
      <w:r w:rsidR="00587A0E">
        <w:rPr>
          <w:rFonts w:ascii="Times New Roman" w:eastAsia="Calibri" w:hAnsi="Times New Roman" w:cs="Times New Roman"/>
          <w:color w:val="231F20"/>
          <w:sz w:val="24"/>
          <w:szCs w:val="24"/>
          <w:lang w:val="ro-RO"/>
        </w:rPr>
        <w:t>sau artralgiilor</w:t>
      </w:r>
      <w:r w:rsidR="00635D44">
        <w:rPr>
          <w:rFonts w:ascii="Times New Roman" w:eastAsia="Calibri" w:hAnsi="Times New Roman" w:cs="Times New Roman"/>
          <w:color w:val="231F20"/>
          <w:sz w:val="24"/>
          <w:szCs w:val="24"/>
          <w:lang w:val="ro-RO"/>
        </w:rPr>
        <w:t xml:space="preserve">/artritelor. Acestea din urmă </w:t>
      </w:r>
      <w:r w:rsidR="00594958">
        <w:rPr>
          <w:rFonts w:ascii="Times New Roman" w:eastAsia="Calibri" w:hAnsi="Times New Roman" w:cs="Times New Roman"/>
          <w:color w:val="231F20"/>
          <w:sz w:val="24"/>
          <w:szCs w:val="24"/>
          <w:lang w:val="ro-RO"/>
        </w:rPr>
        <w:t xml:space="preserve">afectează mai ales </w:t>
      </w:r>
      <w:r w:rsidR="00445E3F">
        <w:rPr>
          <w:rFonts w:ascii="Times New Roman" w:eastAsia="Calibri" w:hAnsi="Times New Roman" w:cs="Times New Roman"/>
          <w:color w:val="231F20"/>
          <w:sz w:val="24"/>
          <w:szCs w:val="24"/>
          <w:lang w:val="ro-RO"/>
        </w:rPr>
        <w:t xml:space="preserve">articulațiile mari ale </w:t>
      </w:r>
      <w:r w:rsidR="00594958">
        <w:rPr>
          <w:rFonts w:ascii="Times New Roman" w:eastAsia="Calibri" w:hAnsi="Times New Roman" w:cs="Times New Roman"/>
          <w:color w:val="231F20"/>
          <w:sz w:val="24"/>
          <w:szCs w:val="24"/>
          <w:lang w:val="ro-RO"/>
        </w:rPr>
        <w:t>membrel</w:t>
      </w:r>
      <w:r w:rsidR="00445E3F">
        <w:rPr>
          <w:rFonts w:ascii="Times New Roman" w:eastAsia="Calibri" w:hAnsi="Times New Roman" w:cs="Times New Roman"/>
          <w:color w:val="231F20"/>
          <w:sz w:val="24"/>
          <w:szCs w:val="24"/>
          <w:lang w:val="ro-RO"/>
        </w:rPr>
        <w:t>or</w:t>
      </w:r>
      <w:r w:rsidR="00594958">
        <w:rPr>
          <w:rFonts w:ascii="Times New Roman" w:eastAsia="Calibri" w:hAnsi="Times New Roman" w:cs="Times New Roman"/>
          <w:color w:val="231F20"/>
          <w:sz w:val="24"/>
          <w:szCs w:val="24"/>
          <w:lang w:val="ro-RO"/>
        </w:rPr>
        <w:t xml:space="preserve"> inferioare</w:t>
      </w:r>
      <w:r w:rsidR="00445E3F">
        <w:rPr>
          <w:rFonts w:ascii="Times New Roman" w:eastAsia="Calibri" w:hAnsi="Times New Roman" w:cs="Times New Roman"/>
          <w:color w:val="231F20"/>
          <w:sz w:val="24"/>
          <w:szCs w:val="24"/>
          <w:lang w:val="ro-RO"/>
        </w:rPr>
        <w:t>. Au în special</w:t>
      </w:r>
      <w:r w:rsidR="00635D44">
        <w:rPr>
          <w:rFonts w:ascii="Times New Roman" w:eastAsia="Calibri" w:hAnsi="Times New Roman" w:cs="Times New Roman"/>
          <w:color w:val="231F20"/>
          <w:sz w:val="24"/>
          <w:szCs w:val="24"/>
          <w:lang w:val="ro-RO"/>
        </w:rPr>
        <w:t xml:space="preserve"> caracter oligoarticular</w:t>
      </w:r>
      <w:r w:rsidR="00594958">
        <w:rPr>
          <w:rFonts w:ascii="Times New Roman" w:eastAsia="Calibri" w:hAnsi="Times New Roman" w:cs="Times New Roman"/>
          <w:color w:val="231F20"/>
          <w:sz w:val="24"/>
          <w:szCs w:val="24"/>
          <w:lang w:val="ro-RO"/>
        </w:rPr>
        <w:t xml:space="preserve"> și migrator.</w:t>
      </w:r>
      <w:r w:rsidR="00EB1257">
        <w:rPr>
          <w:rFonts w:ascii="Times New Roman" w:eastAsia="Calibri" w:hAnsi="Times New Roman" w:cs="Times New Roman"/>
          <w:color w:val="231F20"/>
          <w:sz w:val="24"/>
          <w:szCs w:val="24"/>
          <w:lang w:val="ro-RO"/>
        </w:rPr>
        <w:t xml:space="preserve"> A</w:t>
      </w:r>
      <w:r w:rsidR="00EA44A4">
        <w:rPr>
          <w:rFonts w:ascii="Times New Roman" w:eastAsia="Calibri" w:hAnsi="Times New Roman" w:cs="Times New Roman"/>
          <w:color w:val="231F20"/>
          <w:sz w:val="24"/>
          <w:szCs w:val="24"/>
          <w:lang w:val="ro-RO"/>
        </w:rPr>
        <w:t>fectarea cutanată</w:t>
      </w:r>
      <w:r w:rsidR="0016238F">
        <w:rPr>
          <w:rFonts w:ascii="Times New Roman" w:eastAsia="Calibri" w:hAnsi="Times New Roman" w:cs="Times New Roman"/>
          <w:color w:val="231F20"/>
          <w:sz w:val="24"/>
          <w:szCs w:val="24"/>
          <w:lang w:val="ro-RO"/>
        </w:rPr>
        <w:t xml:space="preserve"> este frecventă</w:t>
      </w:r>
      <w:r w:rsidR="00D55F1F">
        <w:rPr>
          <w:rFonts w:ascii="Times New Roman" w:eastAsia="Calibri" w:hAnsi="Times New Roman" w:cs="Times New Roman"/>
          <w:color w:val="231F20"/>
          <w:sz w:val="24"/>
          <w:szCs w:val="24"/>
          <w:lang w:val="ro-RO"/>
        </w:rPr>
        <w:t xml:space="preserve">, </w:t>
      </w:r>
      <w:r w:rsidR="00EA44A4">
        <w:rPr>
          <w:rFonts w:ascii="Times New Roman" w:eastAsia="Calibri" w:hAnsi="Times New Roman" w:cs="Times New Roman"/>
          <w:color w:val="231F20"/>
          <w:sz w:val="24"/>
          <w:szCs w:val="24"/>
          <w:lang w:val="ro-RO"/>
        </w:rPr>
        <w:t>are specificitate mai mare și poate orienta mai repede diagnosticul către o vasculită</w:t>
      </w:r>
      <w:r w:rsidR="003C38E5">
        <w:rPr>
          <w:rFonts w:ascii="Times New Roman" w:eastAsia="Calibri" w:hAnsi="Times New Roman" w:cs="Times New Roman"/>
          <w:color w:val="231F20"/>
          <w:sz w:val="24"/>
          <w:szCs w:val="24"/>
          <w:lang w:val="ro-RO"/>
        </w:rPr>
        <w:t xml:space="preserve"> de vas mic, dar nu stabilește exact și tipul</w:t>
      </w:r>
      <w:r w:rsidR="00EA44A4">
        <w:rPr>
          <w:rFonts w:ascii="Times New Roman" w:eastAsia="Calibri" w:hAnsi="Times New Roman" w:cs="Times New Roman"/>
          <w:color w:val="231F20"/>
          <w:sz w:val="24"/>
          <w:szCs w:val="24"/>
          <w:lang w:val="ro-RO"/>
        </w:rPr>
        <w:t>. Pot fi întâlnite leziuni de tip purpură palpabil</w:t>
      </w:r>
      <w:r w:rsidR="003C38E5">
        <w:rPr>
          <w:rFonts w:ascii="Times New Roman" w:eastAsia="Calibri" w:hAnsi="Times New Roman" w:cs="Times New Roman"/>
          <w:color w:val="231F20"/>
          <w:sz w:val="24"/>
          <w:szCs w:val="24"/>
          <w:lang w:val="ro-RO"/>
        </w:rPr>
        <w:t>ă</w:t>
      </w:r>
      <w:r w:rsidR="0009234C">
        <w:rPr>
          <w:rFonts w:ascii="Times New Roman" w:eastAsia="Calibri" w:hAnsi="Times New Roman" w:cs="Times New Roman"/>
          <w:color w:val="231F20"/>
          <w:sz w:val="24"/>
          <w:szCs w:val="24"/>
          <w:lang w:val="ro-RO"/>
        </w:rPr>
        <w:t xml:space="preserve">, </w:t>
      </w:r>
      <w:r w:rsidR="004C0721">
        <w:rPr>
          <w:rFonts w:ascii="Times New Roman" w:eastAsia="Calibri" w:hAnsi="Times New Roman" w:cs="Times New Roman"/>
          <w:color w:val="231F20"/>
          <w:sz w:val="24"/>
          <w:szCs w:val="24"/>
          <w:lang w:val="ro-RO"/>
        </w:rPr>
        <w:t>placarde purpurice</w:t>
      </w:r>
      <w:r w:rsidR="00964A65">
        <w:rPr>
          <w:rFonts w:ascii="Times New Roman" w:eastAsia="Calibri" w:hAnsi="Times New Roman" w:cs="Times New Roman"/>
          <w:color w:val="231F20"/>
          <w:sz w:val="24"/>
          <w:szCs w:val="24"/>
          <w:lang w:val="ro-RO"/>
        </w:rPr>
        <w:t xml:space="preserve"> cu tendință la ulcerare, </w:t>
      </w:r>
      <w:r w:rsidR="0009234C">
        <w:rPr>
          <w:rFonts w:ascii="Times New Roman" w:eastAsia="Calibri" w:hAnsi="Times New Roman" w:cs="Times New Roman"/>
          <w:color w:val="231F20"/>
          <w:sz w:val="24"/>
          <w:szCs w:val="24"/>
          <w:lang w:val="ro-RO"/>
        </w:rPr>
        <w:t>ulcera</w:t>
      </w:r>
      <w:r w:rsidR="00575211">
        <w:rPr>
          <w:rFonts w:ascii="Times New Roman" w:eastAsia="Calibri" w:hAnsi="Times New Roman" w:cs="Times New Roman"/>
          <w:color w:val="231F20"/>
          <w:sz w:val="24"/>
          <w:szCs w:val="24"/>
          <w:lang w:val="ro-RO"/>
        </w:rPr>
        <w:t>ții, noduli subcutanați, vezicule, bule</w:t>
      </w:r>
      <w:r w:rsidR="00964A65">
        <w:rPr>
          <w:rFonts w:ascii="Times New Roman" w:eastAsia="Calibri" w:hAnsi="Times New Roman" w:cs="Times New Roman"/>
          <w:color w:val="231F20"/>
          <w:sz w:val="24"/>
          <w:szCs w:val="24"/>
          <w:lang w:val="ro-RO"/>
        </w:rPr>
        <w:t xml:space="preserve"> etc.</w:t>
      </w:r>
      <w:r w:rsidR="00680959">
        <w:rPr>
          <w:rFonts w:ascii="Times New Roman" w:eastAsia="Calibri" w:hAnsi="Times New Roman" w:cs="Times New Roman"/>
          <w:color w:val="231F20"/>
          <w:sz w:val="24"/>
          <w:szCs w:val="24"/>
          <w:lang w:val="ro-RO"/>
        </w:rPr>
        <w:t xml:space="preserve"> Mucoasele pot fi și ele afectate cu ulcerații orale, mai rar genitale.</w:t>
      </w:r>
    </w:p>
    <w:p w14:paraId="021D1DC9" w14:textId="2096A2B4" w:rsidR="00065285" w:rsidRPr="00CB27B6" w:rsidRDefault="007875F0" w:rsidP="00CB27B6">
      <w:pPr>
        <w:spacing w:after="200" w:line="360" w:lineRule="auto"/>
        <w:ind w:firstLine="708"/>
        <w:jc w:val="both"/>
        <w:rPr>
          <w:rFonts w:ascii="Times New Roman" w:eastAsia="Calibri" w:hAnsi="Times New Roman" w:cs="Times New Roman"/>
          <w:sz w:val="24"/>
          <w:szCs w:val="24"/>
          <w:lang w:val="ro-RO"/>
        </w:rPr>
      </w:pPr>
      <w:r>
        <w:rPr>
          <w:rFonts w:ascii="Times New Roman" w:eastAsia="Times New Roman" w:hAnsi="Times New Roman" w:cs="Times New Roman"/>
          <w:color w:val="000000"/>
          <w:kern w:val="24"/>
          <w:sz w:val="24"/>
          <w:szCs w:val="24"/>
          <w:lang w:val="en-US" w:eastAsia="ro-RO"/>
        </w:rPr>
        <w:t>Afectarea neurologică</w:t>
      </w:r>
      <w:r w:rsidR="006E1B36">
        <w:rPr>
          <w:rFonts w:ascii="Times New Roman" w:eastAsia="Times New Roman" w:hAnsi="Times New Roman" w:cs="Times New Roman"/>
          <w:color w:val="000000"/>
          <w:kern w:val="24"/>
          <w:sz w:val="24"/>
          <w:szCs w:val="24"/>
          <w:lang w:val="en-US" w:eastAsia="ro-RO"/>
        </w:rPr>
        <w:t>, de tipul neuropatiilor periferice senzo</w:t>
      </w:r>
      <w:r w:rsidR="00632939">
        <w:rPr>
          <w:rFonts w:ascii="Times New Roman" w:eastAsia="Times New Roman" w:hAnsi="Times New Roman" w:cs="Times New Roman"/>
          <w:color w:val="000000"/>
          <w:kern w:val="24"/>
          <w:sz w:val="24"/>
          <w:szCs w:val="24"/>
          <w:lang w:val="en-US" w:eastAsia="ro-RO"/>
        </w:rPr>
        <w:t>riale sau motorii</w:t>
      </w:r>
      <w:r w:rsidR="008C1AEA">
        <w:rPr>
          <w:rFonts w:ascii="Times New Roman" w:eastAsia="Times New Roman" w:hAnsi="Times New Roman" w:cs="Times New Roman"/>
          <w:color w:val="000000"/>
          <w:kern w:val="24"/>
          <w:sz w:val="24"/>
          <w:szCs w:val="24"/>
          <w:lang w:val="en-US" w:eastAsia="ro-RO"/>
        </w:rPr>
        <w:t>,</w:t>
      </w:r>
      <w:r>
        <w:rPr>
          <w:rFonts w:ascii="Times New Roman" w:eastAsia="Times New Roman" w:hAnsi="Times New Roman" w:cs="Times New Roman"/>
          <w:color w:val="000000"/>
          <w:kern w:val="24"/>
          <w:sz w:val="24"/>
          <w:szCs w:val="24"/>
          <w:lang w:val="en-US" w:eastAsia="ro-RO"/>
        </w:rPr>
        <w:t xml:space="preserve"> este </w:t>
      </w:r>
      <w:r w:rsidR="00D35727">
        <w:rPr>
          <w:rFonts w:ascii="Times New Roman" w:eastAsia="Times New Roman" w:hAnsi="Times New Roman" w:cs="Times New Roman"/>
          <w:color w:val="000000"/>
          <w:kern w:val="24"/>
          <w:sz w:val="24"/>
          <w:szCs w:val="24"/>
          <w:lang w:val="en-US" w:eastAsia="ro-RO"/>
        </w:rPr>
        <w:t>întâlnită la aproximativ 15% dintre pacienții cu GPA sau PAM</w:t>
      </w:r>
      <w:r w:rsidR="00F66177">
        <w:rPr>
          <w:rFonts w:ascii="Times New Roman" w:eastAsia="Times New Roman" w:hAnsi="Times New Roman" w:cs="Times New Roman"/>
          <w:color w:val="000000"/>
          <w:kern w:val="24"/>
          <w:sz w:val="24"/>
          <w:szCs w:val="24"/>
          <w:lang w:val="en-US" w:eastAsia="ro-RO"/>
        </w:rPr>
        <w:t>. M</w:t>
      </w:r>
      <w:r w:rsidR="00632939">
        <w:rPr>
          <w:rFonts w:ascii="Times New Roman" w:eastAsia="Times New Roman" w:hAnsi="Times New Roman" w:cs="Times New Roman"/>
          <w:color w:val="000000"/>
          <w:kern w:val="24"/>
          <w:sz w:val="24"/>
          <w:szCs w:val="24"/>
          <w:lang w:val="en-US" w:eastAsia="ro-RO"/>
        </w:rPr>
        <w:t>ononevrita multiplex</w:t>
      </w:r>
      <w:r w:rsidR="00AC0761">
        <w:rPr>
          <w:rFonts w:ascii="Times New Roman" w:eastAsia="Times New Roman" w:hAnsi="Times New Roman" w:cs="Times New Roman"/>
          <w:color w:val="000000"/>
          <w:kern w:val="24"/>
          <w:sz w:val="24"/>
          <w:szCs w:val="24"/>
          <w:lang w:val="en-US" w:eastAsia="ro-RO"/>
        </w:rPr>
        <w:t xml:space="preserve"> </w:t>
      </w:r>
      <w:r w:rsidR="00065285" w:rsidRPr="00065285">
        <w:rPr>
          <w:rFonts w:ascii="Times New Roman" w:eastAsia="Times New Roman" w:hAnsi="Times New Roman" w:cs="Times New Roman"/>
          <w:color w:val="000000"/>
          <w:kern w:val="24"/>
          <w:sz w:val="24"/>
          <w:szCs w:val="24"/>
          <w:lang w:val="en-US" w:eastAsia="ro-RO"/>
        </w:rPr>
        <w:t>este înalt sugestivă pentru GEPA (45–75%)</w:t>
      </w:r>
      <w:r w:rsidR="00722AB5">
        <w:rPr>
          <w:rFonts w:ascii="Times New Roman" w:eastAsia="Times New Roman" w:hAnsi="Times New Roman" w:cs="Times New Roman"/>
          <w:color w:val="000000"/>
          <w:kern w:val="24"/>
          <w:sz w:val="24"/>
          <w:szCs w:val="24"/>
          <w:lang w:val="en-US" w:eastAsia="ro-RO"/>
        </w:rPr>
        <w:t xml:space="preserve">. </w:t>
      </w:r>
      <w:r w:rsidR="000911DA">
        <w:rPr>
          <w:rFonts w:ascii="Times New Roman" w:eastAsia="Times New Roman" w:hAnsi="Times New Roman" w:cs="Times New Roman"/>
          <w:color w:val="000000"/>
          <w:kern w:val="24"/>
          <w:sz w:val="24"/>
          <w:szCs w:val="24"/>
          <w:lang w:val="en-US" w:eastAsia="ro-RO"/>
        </w:rPr>
        <w:t>M</w:t>
      </w:r>
      <w:r w:rsidR="00065285" w:rsidRPr="00065285">
        <w:rPr>
          <w:rFonts w:ascii="Times New Roman" w:eastAsia="Times New Roman" w:hAnsi="Times New Roman" w:cs="Times New Roman"/>
          <w:color w:val="000000"/>
          <w:kern w:val="24"/>
          <w:sz w:val="24"/>
          <w:szCs w:val="24"/>
          <w:lang w:val="en-US" w:eastAsia="ro-RO"/>
        </w:rPr>
        <w:t>anifestări</w:t>
      </w:r>
      <w:r w:rsidR="000911DA">
        <w:rPr>
          <w:rFonts w:ascii="Times New Roman" w:eastAsia="Times New Roman" w:hAnsi="Times New Roman" w:cs="Times New Roman"/>
          <w:color w:val="000000"/>
          <w:kern w:val="24"/>
          <w:sz w:val="24"/>
          <w:szCs w:val="24"/>
          <w:lang w:val="en-US" w:eastAsia="ro-RO"/>
        </w:rPr>
        <w:t>le</w:t>
      </w:r>
      <w:r w:rsidR="00065285" w:rsidRPr="00065285">
        <w:rPr>
          <w:rFonts w:ascii="Times New Roman" w:eastAsia="Times New Roman" w:hAnsi="Times New Roman" w:cs="Times New Roman"/>
          <w:color w:val="000000"/>
          <w:kern w:val="24"/>
          <w:sz w:val="24"/>
          <w:szCs w:val="24"/>
          <w:lang w:val="en-US" w:eastAsia="ro-RO"/>
        </w:rPr>
        <w:t xml:space="preserve"> oculare</w:t>
      </w:r>
      <w:r w:rsidR="000911DA">
        <w:rPr>
          <w:rFonts w:ascii="Times New Roman" w:eastAsia="Times New Roman" w:hAnsi="Times New Roman" w:cs="Times New Roman"/>
          <w:color w:val="000000"/>
          <w:kern w:val="24"/>
          <w:sz w:val="24"/>
          <w:szCs w:val="24"/>
          <w:lang w:val="en-US" w:eastAsia="ro-RO"/>
        </w:rPr>
        <w:t xml:space="preserve"> pot îmbrăca diverse forme</w:t>
      </w:r>
      <w:r w:rsidR="00F40D4E">
        <w:rPr>
          <w:rFonts w:ascii="Times New Roman" w:eastAsia="Times New Roman" w:hAnsi="Times New Roman" w:cs="Times New Roman"/>
          <w:color w:val="000000"/>
          <w:kern w:val="24"/>
          <w:sz w:val="24"/>
          <w:szCs w:val="24"/>
          <w:lang w:val="en-US" w:eastAsia="ro-RO"/>
        </w:rPr>
        <w:t xml:space="preserve">, </w:t>
      </w:r>
      <w:r w:rsidR="00065285" w:rsidRPr="00065285">
        <w:rPr>
          <w:rFonts w:ascii="Times New Roman" w:eastAsia="Times New Roman" w:hAnsi="Times New Roman" w:cs="Times New Roman"/>
          <w:color w:val="000000"/>
          <w:kern w:val="24"/>
          <w:sz w:val="24"/>
          <w:szCs w:val="24"/>
          <w:lang w:val="en-US" w:eastAsia="ro-RO"/>
        </w:rPr>
        <w:t>conjunctivite, episclerite, uveite</w:t>
      </w:r>
      <w:r w:rsidR="00F40D4E">
        <w:rPr>
          <w:rFonts w:ascii="Times New Roman" w:eastAsia="Times New Roman" w:hAnsi="Times New Roman" w:cs="Times New Roman"/>
          <w:color w:val="000000"/>
          <w:kern w:val="24"/>
          <w:sz w:val="24"/>
          <w:szCs w:val="24"/>
          <w:lang w:val="en-US" w:eastAsia="ro-RO"/>
        </w:rPr>
        <w:t>, keratite</w:t>
      </w:r>
      <w:r w:rsidR="00AE3B01">
        <w:rPr>
          <w:rFonts w:ascii="Times New Roman" w:eastAsia="Times New Roman" w:hAnsi="Times New Roman" w:cs="Times New Roman"/>
          <w:color w:val="000000"/>
          <w:kern w:val="24"/>
          <w:sz w:val="24"/>
          <w:szCs w:val="24"/>
          <w:lang w:val="en-US" w:eastAsia="ro-RO"/>
        </w:rPr>
        <w:t>, vasculite retiniene</w:t>
      </w:r>
      <w:r w:rsidR="00065285" w:rsidRPr="00065285">
        <w:rPr>
          <w:rFonts w:ascii="Times New Roman" w:eastAsia="Times New Roman" w:hAnsi="Times New Roman" w:cs="Times New Roman"/>
          <w:color w:val="000000"/>
          <w:kern w:val="24"/>
          <w:sz w:val="24"/>
          <w:szCs w:val="24"/>
          <w:lang w:val="en-US" w:eastAsia="ro-RO"/>
        </w:rPr>
        <w:t xml:space="preserve"> dar și pseudotumori retro-orbitale </w:t>
      </w:r>
      <w:r w:rsidR="000F3B73">
        <w:rPr>
          <w:rFonts w:ascii="Times New Roman" w:eastAsia="Times New Roman" w:hAnsi="Times New Roman" w:cs="Times New Roman"/>
          <w:color w:val="000000"/>
          <w:kern w:val="24"/>
          <w:sz w:val="24"/>
          <w:szCs w:val="24"/>
          <w:lang w:val="en-US" w:eastAsia="ro-RO"/>
        </w:rPr>
        <w:t xml:space="preserve">prin localizarea unor granuloame, </w:t>
      </w:r>
      <w:r w:rsidR="00065285" w:rsidRPr="00065285">
        <w:rPr>
          <w:rFonts w:ascii="Times New Roman" w:eastAsia="Times New Roman" w:hAnsi="Times New Roman" w:cs="Times New Roman"/>
          <w:color w:val="000000"/>
          <w:kern w:val="24"/>
          <w:sz w:val="24"/>
          <w:szCs w:val="24"/>
          <w:lang w:val="en-US" w:eastAsia="ro-RO"/>
        </w:rPr>
        <w:t>în special la pacien</w:t>
      </w:r>
      <w:r w:rsidR="00065285" w:rsidRPr="00065285">
        <w:rPr>
          <w:rFonts w:ascii="Bookman Old Style" w:eastAsia="Times New Roman" w:hAnsi="Bookman Old Style" w:cs="Times New Roman"/>
          <w:color w:val="000000"/>
          <w:kern w:val="24"/>
          <w:sz w:val="24"/>
          <w:szCs w:val="24"/>
          <w:lang w:val="en-US" w:eastAsia="ro-RO"/>
        </w:rPr>
        <w:t>ț</w:t>
      </w:r>
      <w:r w:rsidR="00065285" w:rsidRPr="00065285">
        <w:rPr>
          <w:rFonts w:ascii="Times New Roman" w:eastAsia="Times New Roman" w:hAnsi="Times New Roman" w:cs="Times New Roman"/>
          <w:color w:val="000000"/>
          <w:kern w:val="24"/>
          <w:sz w:val="24"/>
          <w:szCs w:val="24"/>
          <w:lang w:val="en-US" w:eastAsia="ro-RO"/>
        </w:rPr>
        <w:t xml:space="preserve">ii cu GPA. </w:t>
      </w:r>
    </w:p>
    <w:p w14:paraId="320C5CFF" w14:textId="4DEC9B52" w:rsidR="006E55D4" w:rsidRDefault="00065285" w:rsidP="00CB27B6">
      <w:pPr>
        <w:spacing w:after="0" w:line="360" w:lineRule="auto"/>
        <w:ind w:firstLine="708"/>
        <w:jc w:val="both"/>
        <w:rPr>
          <w:rFonts w:ascii="Times New Roman" w:eastAsia="Times New Roman" w:hAnsi="Times New Roman" w:cs="Times New Roman"/>
          <w:color w:val="000000"/>
          <w:kern w:val="24"/>
          <w:sz w:val="24"/>
          <w:szCs w:val="24"/>
          <w:lang w:val="en-US" w:eastAsia="ro-RO"/>
        </w:rPr>
      </w:pPr>
      <w:r w:rsidRPr="00065285">
        <w:rPr>
          <w:rFonts w:ascii="Times New Roman" w:eastAsia="Times New Roman" w:hAnsi="Times New Roman" w:cs="Times New Roman"/>
          <w:color w:val="000000"/>
          <w:kern w:val="24"/>
          <w:sz w:val="24"/>
          <w:szCs w:val="24"/>
          <w:lang w:val="en-US" w:eastAsia="ro-RO"/>
        </w:rPr>
        <w:lastRenderedPageBreak/>
        <w:t xml:space="preserve">Afectarea renală de tip glomerulonefrită pauci-imună necrotizantă și crescentică este în general similară din punct de vedere histologic între cele trei tipuri de vasculite ANCA pozitive, dar este mai frecvent (77-85%) întâlnită în GPA și PAM. Poate fi manifestare de debut, în special în PAM, dar de cele mai multe ori apare în primul an de boală. </w:t>
      </w:r>
      <w:r w:rsidR="00B90866" w:rsidRPr="00065285">
        <w:rPr>
          <w:rFonts w:ascii="Times New Roman" w:eastAsia="Times New Roman" w:hAnsi="Times New Roman" w:cs="Times New Roman"/>
          <w:color w:val="000000"/>
          <w:kern w:val="24"/>
          <w:sz w:val="24"/>
          <w:szCs w:val="24"/>
          <w:lang w:val="en-US" w:eastAsia="ro-RO"/>
        </w:rPr>
        <w:t xml:space="preserve">Spectrul modificărilor clinice și de laborator poate fi variabil, de la hematurie asimptomatică până la glomerulonefrită rapid progresivă. </w:t>
      </w:r>
      <w:r w:rsidR="00021CD2">
        <w:rPr>
          <w:rFonts w:ascii="Times New Roman" w:eastAsia="Times New Roman" w:hAnsi="Times New Roman" w:cs="Times New Roman"/>
          <w:color w:val="000000"/>
          <w:kern w:val="24"/>
          <w:sz w:val="24"/>
          <w:szCs w:val="24"/>
          <w:lang w:val="en-US" w:eastAsia="ro-RO"/>
        </w:rPr>
        <w:t>Fără tratament</w:t>
      </w:r>
      <w:r w:rsidR="008C1AEA">
        <w:rPr>
          <w:rFonts w:ascii="Times New Roman" w:eastAsia="Times New Roman" w:hAnsi="Times New Roman" w:cs="Times New Roman"/>
          <w:color w:val="000000"/>
          <w:kern w:val="24"/>
          <w:sz w:val="24"/>
          <w:szCs w:val="24"/>
          <w:lang w:val="en-US" w:eastAsia="ro-RO"/>
        </w:rPr>
        <w:t>,</w:t>
      </w:r>
      <w:r w:rsidR="00021CD2">
        <w:rPr>
          <w:rFonts w:ascii="Times New Roman" w:eastAsia="Times New Roman" w:hAnsi="Times New Roman" w:cs="Times New Roman"/>
          <w:color w:val="000000"/>
          <w:kern w:val="24"/>
          <w:sz w:val="24"/>
          <w:szCs w:val="24"/>
          <w:lang w:val="en-US" w:eastAsia="ro-RO"/>
        </w:rPr>
        <w:t xml:space="preserve"> evoluția este rapidă spre insuficiență renală, fiind unul dintre factorii care influențează prognosticul</w:t>
      </w:r>
      <w:r w:rsidR="00B90866">
        <w:rPr>
          <w:rFonts w:ascii="Times New Roman" w:eastAsia="Times New Roman" w:hAnsi="Times New Roman" w:cs="Times New Roman"/>
          <w:color w:val="000000"/>
          <w:kern w:val="24"/>
          <w:sz w:val="24"/>
          <w:szCs w:val="24"/>
          <w:lang w:val="en-US" w:eastAsia="ro-RO"/>
        </w:rPr>
        <w:t>.</w:t>
      </w:r>
    </w:p>
    <w:p w14:paraId="1F58663A" w14:textId="77777777" w:rsidR="00E235C3" w:rsidRDefault="00A42FF1" w:rsidP="00C24D86">
      <w:pPr>
        <w:spacing w:after="0" w:line="360" w:lineRule="auto"/>
        <w:ind w:firstLine="708"/>
        <w:jc w:val="both"/>
        <w:rPr>
          <w:rFonts w:ascii="Times New Roman" w:eastAsia="Times New Roman" w:hAnsi="Times New Roman" w:cs="Times New Roman"/>
          <w:color w:val="000000"/>
          <w:kern w:val="24"/>
          <w:sz w:val="24"/>
          <w:szCs w:val="24"/>
          <w:lang w:val="en-US" w:eastAsia="ro-RO"/>
        </w:rPr>
      </w:pPr>
      <w:r>
        <w:rPr>
          <w:rFonts w:ascii="Times New Roman" w:eastAsia="Times New Roman" w:hAnsi="Times New Roman" w:cs="Times New Roman"/>
          <w:color w:val="000000"/>
          <w:kern w:val="24"/>
          <w:sz w:val="24"/>
          <w:szCs w:val="24"/>
          <w:lang w:val="en-US" w:eastAsia="ro-RO"/>
        </w:rPr>
        <w:t xml:space="preserve">Spectrul afectărilor pulmonare este foarte variabil, posibil cu anumite particularități pentru fiecare vasculită în parte. Există și cazuri în care este greu de diferențiat. Clinic pacienții pot avea tuse, dispnee, durere pleuritică, hemoptizie, semne ale hipoxemiei etc. Pot fi întâlnite leziuni nodulare (GPA), hemoragie alveolară 5–45%, afectare interstițială (în special în PAM 20–45%), sau în cazul GEPA astm bronșic și infiltrate eozinofilice. </w:t>
      </w:r>
    </w:p>
    <w:p w14:paraId="2FFC8843" w14:textId="77777777" w:rsidR="008C1AEA" w:rsidRDefault="008C1AEA" w:rsidP="00C24D86">
      <w:pPr>
        <w:spacing w:after="0" w:line="360" w:lineRule="auto"/>
        <w:ind w:firstLine="708"/>
        <w:jc w:val="both"/>
        <w:rPr>
          <w:rFonts w:ascii="Times New Roman" w:eastAsia="Times New Roman" w:hAnsi="Times New Roman" w:cs="Times New Roman"/>
          <w:color w:val="000000"/>
          <w:kern w:val="24"/>
          <w:sz w:val="24"/>
          <w:szCs w:val="24"/>
          <w:lang w:val="en-US" w:eastAsia="ro-RO"/>
        </w:rPr>
      </w:pPr>
    </w:p>
    <w:p w14:paraId="1D568368" w14:textId="42D77B7C" w:rsidR="00C24D86" w:rsidRPr="00100F96" w:rsidRDefault="008C1AEA" w:rsidP="00C24D86">
      <w:pPr>
        <w:spacing w:after="0" w:line="360" w:lineRule="auto"/>
        <w:ind w:firstLine="708"/>
        <w:jc w:val="both"/>
        <w:rPr>
          <w:rFonts w:ascii="Times New Roman" w:eastAsia="Times New Roman" w:hAnsi="Times New Roman" w:cs="Times New Roman"/>
          <w:color w:val="000000"/>
          <w:kern w:val="24"/>
          <w:sz w:val="24"/>
          <w:szCs w:val="24"/>
          <w:vertAlign w:val="superscript"/>
          <w:lang w:val="en-US" w:eastAsia="ro-RO"/>
        </w:rPr>
      </w:pPr>
      <w:r w:rsidRPr="008C1AEA">
        <w:rPr>
          <w:rFonts w:ascii="Times New Roman" w:eastAsia="Times New Roman" w:hAnsi="Times New Roman" w:cs="Times New Roman"/>
          <w:b/>
          <w:bCs/>
          <w:color w:val="000000"/>
          <w:kern w:val="24"/>
          <w:sz w:val="24"/>
          <w:szCs w:val="24"/>
          <w:lang w:val="en-US" w:eastAsia="ro-RO"/>
        </w:rPr>
        <w:t>Tabelul 6.</w:t>
      </w:r>
      <w:r>
        <w:rPr>
          <w:rFonts w:ascii="Times New Roman" w:eastAsia="Times New Roman" w:hAnsi="Times New Roman" w:cs="Times New Roman"/>
          <w:color w:val="000000"/>
          <w:kern w:val="24"/>
          <w:sz w:val="24"/>
          <w:szCs w:val="24"/>
          <w:lang w:val="en-US" w:eastAsia="ro-RO"/>
        </w:rPr>
        <w:t xml:space="preserve"> </w:t>
      </w:r>
      <w:r w:rsidR="00272794">
        <w:rPr>
          <w:rFonts w:ascii="Times New Roman" w:eastAsia="Times New Roman" w:hAnsi="Times New Roman" w:cs="Times New Roman"/>
          <w:color w:val="000000"/>
          <w:kern w:val="24"/>
          <w:sz w:val="24"/>
          <w:szCs w:val="24"/>
          <w:lang w:val="en-US" w:eastAsia="ro-RO"/>
        </w:rPr>
        <w:t>Particularități clinice ale principalelor forme de vasculite ANCA asociate</w:t>
      </w:r>
    </w:p>
    <w:tbl>
      <w:tblPr>
        <w:tblStyle w:val="TableGrid"/>
        <w:tblW w:w="0" w:type="auto"/>
        <w:tblLook w:val="04A0" w:firstRow="1" w:lastRow="0" w:firstColumn="1" w:lastColumn="0" w:noHBand="0" w:noVBand="1"/>
      </w:tblPr>
      <w:tblGrid>
        <w:gridCol w:w="1790"/>
        <w:gridCol w:w="2430"/>
        <w:gridCol w:w="2543"/>
        <w:gridCol w:w="2253"/>
      </w:tblGrid>
      <w:tr w:rsidR="00F52E56" w:rsidRPr="00F52E56" w14:paraId="0B8B9E91" w14:textId="77777777" w:rsidTr="00116DDC">
        <w:tc>
          <w:tcPr>
            <w:tcW w:w="1809" w:type="dxa"/>
          </w:tcPr>
          <w:p w14:paraId="1AFBF96F" w14:textId="77777777" w:rsidR="00F52E56" w:rsidRPr="00F52E56" w:rsidRDefault="00F52E56" w:rsidP="00F52E56">
            <w:pPr>
              <w:spacing w:line="360" w:lineRule="auto"/>
              <w:jc w:val="center"/>
              <w:rPr>
                <w:rFonts w:ascii="Times New Roman" w:eastAsia="Times New Roman" w:hAnsi="Times New Roman" w:cs="Times New Roman"/>
                <w:b/>
                <w:color w:val="000000"/>
                <w:kern w:val="24"/>
                <w:sz w:val="24"/>
                <w:szCs w:val="24"/>
                <w:lang w:val="en-US" w:eastAsia="ro-RO"/>
              </w:rPr>
            </w:pPr>
          </w:p>
        </w:tc>
        <w:tc>
          <w:tcPr>
            <w:tcW w:w="2552" w:type="dxa"/>
          </w:tcPr>
          <w:p w14:paraId="4F9CEA32" w14:textId="77777777" w:rsidR="00F52E56" w:rsidRPr="00F52E56" w:rsidRDefault="00F52E56" w:rsidP="00F52E56">
            <w:pPr>
              <w:spacing w:line="360" w:lineRule="auto"/>
              <w:jc w:val="center"/>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GPA</w:t>
            </w:r>
          </w:p>
        </w:tc>
        <w:tc>
          <w:tcPr>
            <w:tcW w:w="2605" w:type="dxa"/>
          </w:tcPr>
          <w:p w14:paraId="51D155F5" w14:textId="77777777" w:rsidR="00F52E56" w:rsidRPr="00F52E56" w:rsidRDefault="00F52E56" w:rsidP="00F52E56">
            <w:pPr>
              <w:spacing w:line="360" w:lineRule="auto"/>
              <w:jc w:val="center"/>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GEPA</w:t>
            </w:r>
          </w:p>
        </w:tc>
        <w:tc>
          <w:tcPr>
            <w:tcW w:w="2322" w:type="dxa"/>
          </w:tcPr>
          <w:p w14:paraId="66DB7104" w14:textId="77777777" w:rsidR="00F52E56" w:rsidRPr="00F52E56" w:rsidRDefault="00F52E56" w:rsidP="00F52E56">
            <w:pPr>
              <w:spacing w:line="360" w:lineRule="auto"/>
              <w:jc w:val="center"/>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PAM</w:t>
            </w:r>
          </w:p>
        </w:tc>
      </w:tr>
      <w:tr w:rsidR="00F52E56" w:rsidRPr="00F52E56" w14:paraId="7F1464A4" w14:textId="77777777" w:rsidTr="00116DDC">
        <w:tc>
          <w:tcPr>
            <w:tcW w:w="1809" w:type="dxa"/>
          </w:tcPr>
          <w:p w14:paraId="064EDAAD"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DEBUT</w:t>
            </w:r>
          </w:p>
        </w:tc>
        <w:tc>
          <w:tcPr>
            <w:tcW w:w="2552" w:type="dxa"/>
          </w:tcPr>
          <w:p w14:paraId="1A27C297"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Insidios</w:t>
            </w:r>
          </w:p>
        </w:tc>
        <w:tc>
          <w:tcPr>
            <w:tcW w:w="2605" w:type="dxa"/>
          </w:tcPr>
          <w:p w14:paraId="0260E6FD"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Insidios/stadializat</w:t>
            </w:r>
          </w:p>
        </w:tc>
        <w:tc>
          <w:tcPr>
            <w:tcW w:w="2322" w:type="dxa"/>
          </w:tcPr>
          <w:p w14:paraId="5A8A1A00"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Acut/supraacut</w:t>
            </w:r>
          </w:p>
        </w:tc>
      </w:tr>
      <w:tr w:rsidR="00F52E56" w:rsidRPr="00F52E56" w14:paraId="71B60BD9" w14:textId="77777777" w:rsidTr="00116DDC">
        <w:tc>
          <w:tcPr>
            <w:tcW w:w="1809" w:type="dxa"/>
          </w:tcPr>
          <w:p w14:paraId="4C65D4F9"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RENAL</w:t>
            </w:r>
          </w:p>
        </w:tc>
        <w:tc>
          <w:tcPr>
            <w:tcW w:w="2552" w:type="dxa"/>
          </w:tcPr>
          <w:p w14:paraId="79A835C9" w14:textId="77777777" w:rsidR="00F52E56" w:rsidRPr="00F52E56" w:rsidRDefault="00F52E56" w:rsidP="00F52E56">
            <w:pPr>
              <w:spacing w:line="360" w:lineRule="auto"/>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w:t>
            </w:r>
          </w:p>
          <w:p w14:paraId="45245E59"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GNF necrotizantă</w:t>
            </w:r>
          </w:p>
        </w:tc>
        <w:tc>
          <w:tcPr>
            <w:tcW w:w="2605" w:type="dxa"/>
          </w:tcPr>
          <w:p w14:paraId="1F445FC4"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Rar:</w:t>
            </w:r>
          </w:p>
          <w:p w14:paraId="1D1A971B"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 xml:space="preserve"> GNF necrotizantă</w:t>
            </w:r>
          </w:p>
        </w:tc>
        <w:tc>
          <w:tcPr>
            <w:tcW w:w="2322" w:type="dxa"/>
          </w:tcPr>
          <w:p w14:paraId="2023A36E"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 xml:space="preserve">Frecvent: </w:t>
            </w:r>
          </w:p>
          <w:p w14:paraId="1241646B"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GNF necrotizantă</w:t>
            </w:r>
          </w:p>
        </w:tc>
      </w:tr>
      <w:tr w:rsidR="00F52E56" w:rsidRPr="00F52E56" w14:paraId="0E110BBF" w14:textId="77777777" w:rsidTr="00116DDC">
        <w:tc>
          <w:tcPr>
            <w:tcW w:w="1809" w:type="dxa"/>
          </w:tcPr>
          <w:p w14:paraId="6FF17FC3"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PULMONAR</w:t>
            </w:r>
          </w:p>
        </w:tc>
        <w:tc>
          <w:tcPr>
            <w:tcW w:w="2552" w:type="dxa"/>
          </w:tcPr>
          <w:p w14:paraId="1EBF4677"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 xml:space="preserve">Frecvent: </w:t>
            </w:r>
          </w:p>
          <w:p w14:paraId="2AFF08FE"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Infiltrate pulmonare difuze sau nodulare</w:t>
            </w:r>
          </w:p>
        </w:tc>
        <w:tc>
          <w:tcPr>
            <w:tcW w:w="2605" w:type="dxa"/>
          </w:tcPr>
          <w:p w14:paraId="1508AFE0"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w:t>
            </w:r>
          </w:p>
          <w:p w14:paraId="094FCF50"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Astm/infiltrate fugace/rar noduli</w:t>
            </w:r>
          </w:p>
        </w:tc>
        <w:tc>
          <w:tcPr>
            <w:tcW w:w="2322" w:type="dxa"/>
          </w:tcPr>
          <w:p w14:paraId="55D0E69C"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w:t>
            </w:r>
          </w:p>
          <w:p w14:paraId="4A2BD181"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Hemoragie alveolară</w:t>
            </w:r>
          </w:p>
        </w:tc>
      </w:tr>
      <w:tr w:rsidR="00F52E56" w:rsidRPr="00F52E56" w14:paraId="24922948" w14:textId="77777777" w:rsidTr="00116DDC">
        <w:tc>
          <w:tcPr>
            <w:tcW w:w="1809" w:type="dxa"/>
          </w:tcPr>
          <w:p w14:paraId="3EFC559C"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ORL</w:t>
            </w:r>
          </w:p>
        </w:tc>
        <w:tc>
          <w:tcPr>
            <w:tcW w:w="2552" w:type="dxa"/>
          </w:tcPr>
          <w:p w14:paraId="716D167D"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 (90%):</w:t>
            </w:r>
          </w:p>
          <w:p w14:paraId="0104AAEE"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Distructivă</w:t>
            </w:r>
          </w:p>
          <w:p w14:paraId="2B1E2722" w14:textId="77777777" w:rsidR="00F52E56" w:rsidRPr="00F52E56" w:rsidRDefault="00F52E56" w:rsidP="00F52E56">
            <w:pPr>
              <w:spacing w:line="360" w:lineRule="auto"/>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Înalt sugestiv: prăbușirea de sept nazal</w:t>
            </w:r>
          </w:p>
        </w:tc>
        <w:tc>
          <w:tcPr>
            <w:tcW w:w="2605" w:type="dxa"/>
          </w:tcPr>
          <w:p w14:paraId="3ECFFF72"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w:t>
            </w:r>
          </w:p>
          <w:p w14:paraId="4C879151"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Rinită alergică/polipoză</w:t>
            </w:r>
          </w:p>
        </w:tc>
        <w:tc>
          <w:tcPr>
            <w:tcW w:w="2322" w:type="dxa"/>
          </w:tcPr>
          <w:p w14:paraId="07DEAAF1"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Rar (35%):</w:t>
            </w:r>
          </w:p>
          <w:p w14:paraId="0450A337"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Nondistructivă</w:t>
            </w:r>
          </w:p>
        </w:tc>
      </w:tr>
      <w:tr w:rsidR="00F52E56" w:rsidRPr="00F52E56" w14:paraId="07C3CDC9" w14:textId="77777777" w:rsidTr="00116DDC">
        <w:tc>
          <w:tcPr>
            <w:tcW w:w="1809" w:type="dxa"/>
          </w:tcPr>
          <w:p w14:paraId="164680C2"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CARDIAC</w:t>
            </w:r>
          </w:p>
        </w:tc>
        <w:tc>
          <w:tcPr>
            <w:tcW w:w="2552" w:type="dxa"/>
          </w:tcPr>
          <w:p w14:paraId="29C63E89"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Rar</w:t>
            </w:r>
          </w:p>
        </w:tc>
        <w:tc>
          <w:tcPr>
            <w:tcW w:w="2605" w:type="dxa"/>
          </w:tcPr>
          <w:p w14:paraId="3559E01E"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 xml:space="preserve">Frecvent: </w:t>
            </w:r>
          </w:p>
          <w:p w14:paraId="53F7AA47"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25% pericardită</w:t>
            </w:r>
          </w:p>
          <w:p w14:paraId="5F4C354A"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20% miocardită</w:t>
            </w:r>
          </w:p>
          <w:p w14:paraId="09A54D60"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Cauza de deces</w:t>
            </w:r>
          </w:p>
        </w:tc>
        <w:tc>
          <w:tcPr>
            <w:tcW w:w="2322" w:type="dxa"/>
          </w:tcPr>
          <w:p w14:paraId="25960829"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Rar</w:t>
            </w:r>
          </w:p>
        </w:tc>
      </w:tr>
      <w:tr w:rsidR="00F52E56" w:rsidRPr="00F52E56" w14:paraId="46EF8779" w14:textId="77777777" w:rsidTr="00116DDC">
        <w:tc>
          <w:tcPr>
            <w:tcW w:w="1809" w:type="dxa"/>
          </w:tcPr>
          <w:p w14:paraId="7DBA5708" w14:textId="77777777" w:rsidR="00F52E56" w:rsidRPr="00F52E56" w:rsidRDefault="00F52E56" w:rsidP="00F52E56">
            <w:pPr>
              <w:spacing w:line="360" w:lineRule="auto"/>
              <w:jc w:val="both"/>
              <w:rPr>
                <w:rFonts w:ascii="Times New Roman" w:eastAsia="Times New Roman" w:hAnsi="Times New Roman" w:cs="Times New Roman"/>
                <w:b/>
                <w:color w:val="000000"/>
                <w:kern w:val="24"/>
                <w:sz w:val="24"/>
                <w:szCs w:val="24"/>
                <w:lang w:val="en-US" w:eastAsia="ro-RO"/>
              </w:rPr>
            </w:pPr>
            <w:r w:rsidRPr="00F52E56">
              <w:rPr>
                <w:rFonts w:ascii="Times New Roman" w:eastAsia="Times New Roman" w:hAnsi="Times New Roman" w:cs="Times New Roman"/>
                <w:b/>
                <w:color w:val="000000"/>
                <w:kern w:val="24"/>
                <w:sz w:val="24"/>
                <w:szCs w:val="24"/>
                <w:lang w:val="en-US" w:eastAsia="ro-RO"/>
              </w:rPr>
              <w:t>DIGESTIV</w:t>
            </w:r>
          </w:p>
        </w:tc>
        <w:tc>
          <w:tcPr>
            <w:tcW w:w="2552" w:type="dxa"/>
          </w:tcPr>
          <w:p w14:paraId="70A9C4E4"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w:t>
            </w:r>
          </w:p>
          <w:p w14:paraId="3BF349C0"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Ușoară</w:t>
            </w:r>
          </w:p>
        </w:tc>
        <w:tc>
          <w:tcPr>
            <w:tcW w:w="2605" w:type="dxa"/>
          </w:tcPr>
          <w:p w14:paraId="7F612C61"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 30–60%</w:t>
            </w:r>
          </w:p>
          <w:p w14:paraId="4DF07914"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Perforație intestinală</w:t>
            </w:r>
          </w:p>
          <w:p w14:paraId="1D61C737"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Cauză de deces</w:t>
            </w:r>
          </w:p>
        </w:tc>
        <w:tc>
          <w:tcPr>
            <w:tcW w:w="2322" w:type="dxa"/>
          </w:tcPr>
          <w:p w14:paraId="4B243F61"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Frecvent: 30–60%</w:t>
            </w:r>
          </w:p>
          <w:p w14:paraId="48A04122" w14:textId="77777777" w:rsidR="00F52E56" w:rsidRPr="00F52E56" w:rsidRDefault="00F52E56" w:rsidP="00F52E56">
            <w:pPr>
              <w:spacing w:line="360" w:lineRule="auto"/>
              <w:jc w:val="both"/>
              <w:rPr>
                <w:rFonts w:ascii="Times New Roman" w:eastAsia="Times New Roman" w:hAnsi="Times New Roman" w:cs="Times New Roman"/>
                <w:color w:val="000000"/>
                <w:kern w:val="24"/>
                <w:sz w:val="24"/>
                <w:szCs w:val="24"/>
                <w:lang w:val="en-US" w:eastAsia="ro-RO"/>
              </w:rPr>
            </w:pPr>
            <w:r w:rsidRPr="00F52E56">
              <w:rPr>
                <w:rFonts w:ascii="Times New Roman" w:eastAsia="Times New Roman" w:hAnsi="Times New Roman" w:cs="Times New Roman"/>
                <w:color w:val="000000"/>
                <w:kern w:val="24"/>
                <w:sz w:val="24"/>
                <w:szCs w:val="24"/>
                <w:lang w:val="en-US" w:eastAsia="ro-RO"/>
              </w:rPr>
              <w:t>Ușoară</w:t>
            </w:r>
          </w:p>
        </w:tc>
      </w:tr>
    </w:tbl>
    <w:p w14:paraId="6E2D09CA" w14:textId="77777777" w:rsidR="00A11CC8" w:rsidRDefault="00A11CC8" w:rsidP="00CB27B6">
      <w:pPr>
        <w:spacing w:after="200" w:line="360" w:lineRule="auto"/>
        <w:jc w:val="both"/>
        <w:rPr>
          <w:rFonts w:ascii="Times New Roman" w:hAnsi="Times New Roman" w:cs="Times New Roman"/>
          <w:sz w:val="24"/>
          <w:szCs w:val="24"/>
        </w:rPr>
      </w:pPr>
    </w:p>
    <w:p w14:paraId="50DD8C9C" w14:textId="77777777" w:rsidR="00A5250A" w:rsidRPr="00A5250A" w:rsidRDefault="00CB27B6" w:rsidP="00DC122E">
      <w:pPr>
        <w:autoSpaceDE w:val="0"/>
        <w:autoSpaceDN w:val="0"/>
        <w:adjustRightInd w:val="0"/>
        <w:spacing w:after="200" w:line="360" w:lineRule="auto"/>
        <w:ind w:firstLine="720"/>
        <w:jc w:val="both"/>
        <w:rPr>
          <w:rFonts w:ascii="Times New Roman" w:eastAsia="Calibri" w:hAnsi="Times New Roman" w:cs="Times New Roman"/>
          <w:color w:val="231F20"/>
          <w:sz w:val="24"/>
          <w:szCs w:val="24"/>
          <w:lang w:val="ro-RO"/>
        </w:rPr>
      </w:pPr>
      <w:r w:rsidRPr="00CB27B6">
        <w:rPr>
          <w:rFonts w:ascii="Times New Roman" w:eastAsia="Calibri" w:hAnsi="Times New Roman" w:cs="Times New Roman"/>
          <w:b/>
          <w:bCs/>
          <w:color w:val="231F20"/>
          <w:sz w:val="24"/>
          <w:szCs w:val="24"/>
          <w:lang w:val="ro-RO"/>
        </w:rPr>
        <w:t>Modificările de laborator</w:t>
      </w:r>
      <w:r>
        <w:rPr>
          <w:rFonts w:ascii="Times New Roman" w:eastAsia="Calibri" w:hAnsi="Times New Roman" w:cs="Times New Roman"/>
          <w:color w:val="231F20"/>
          <w:sz w:val="24"/>
          <w:szCs w:val="24"/>
          <w:lang w:val="ro-RO"/>
        </w:rPr>
        <w:t xml:space="preserve"> </w:t>
      </w:r>
      <w:r w:rsidR="00030039">
        <w:rPr>
          <w:rFonts w:ascii="Times New Roman" w:eastAsia="Calibri" w:hAnsi="Times New Roman" w:cs="Times New Roman"/>
          <w:color w:val="231F20"/>
          <w:sz w:val="24"/>
          <w:szCs w:val="24"/>
          <w:lang w:val="ro-RO"/>
        </w:rPr>
        <w:t>în condiții de activita</w:t>
      </w:r>
      <w:r w:rsidR="00650313">
        <w:rPr>
          <w:rFonts w:ascii="Times New Roman" w:eastAsia="Calibri" w:hAnsi="Times New Roman" w:cs="Times New Roman"/>
          <w:color w:val="231F20"/>
          <w:sz w:val="24"/>
          <w:szCs w:val="24"/>
          <w:lang w:val="ro-RO"/>
        </w:rPr>
        <w:t xml:space="preserve">te </w:t>
      </w:r>
      <w:r>
        <w:rPr>
          <w:rFonts w:ascii="Times New Roman" w:eastAsia="Calibri" w:hAnsi="Times New Roman" w:cs="Times New Roman"/>
          <w:color w:val="231F20"/>
          <w:sz w:val="24"/>
          <w:szCs w:val="24"/>
          <w:lang w:val="ro-RO"/>
        </w:rPr>
        <w:t xml:space="preserve">a bolii sunt reprezentate de </w:t>
      </w:r>
      <w:r w:rsidR="00650313">
        <w:rPr>
          <w:rFonts w:ascii="Times New Roman" w:eastAsia="Calibri" w:hAnsi="Times New Roman" w:cs="Times New Roman"/>
          <w:color w:val="231F20"/>
          <w:sz w:val="24"/>
          <w:szCs w:val="24"/>
          <w:lang w:val="ro-RO"/>
        </w:rPr>
        <w:t>sindrom inflamator</w:t>
      </w:r>
      <w:r w:rsidR="00883B5E">
        <w:rPr>
          <w:rFonts w:ascii="Times New Roman" w:eastAsia="Calibri" w:hAnsi="Times New Roman" w:cs="Times New Roman"/>
          <w:color w:val="231F20"/>
          <w:sz w:val="24"/>
          <w:szCs w:val="24"/>
          <w:lang w:val="ro-RO"/>
        </w:rPr>
        <w:t xml:space="preserve">. Mai putem să identificăm </w:t>
      </w:r>
      <w:r w:rsidR="00A5250A" w:rsidRPr="00A5250A">
        <w:rPr>
          <w:rFonts w:ascii="Times New Roman" w:eastAsia="Calibri" w:hAnsi="Times New Roman" w:cs="Times New Roman"/>
          <w:color w:val="231F20"/>
          <w:sz w:val="24"/>
          <w:szCs w:val="24"/>
          <w:lang w:val="ro-RO"/>
        </w:rPr>
        <w:t xml:space="preserve">anemie normocromă, normocitară, trombocitoză </w:t>
      </w:r>
      <w:r w:rsidR="00883B5E">
        <w:rPr>
          <w:rFonts w:ascii="Times New Roman" w:eastAsia="Calibri" w:hAnsi="Times New Roman" w:cs="Times New Roman"/>
          <w:color w:val="231F20"/>
          <w:sz w:val="24"/>
          <w:szCs w:val="24"/>
          <w:lang w:val="ro-RO"/>
        </w:rPr>
        <w:t>reactivă</w:t>
      </w:r>
      <w:r w:rsidR="002A4D2F">
        <w:rPr>
          <w:rFonts w:ascii="Times New Roman" w:eastAsia="Calibri" w:hAnsi="Times New Roman" w:cs="Times New Roman"/>
          <w:color w:val="231F20"/>
          <w:sz w:val="24"/>
          <w:szCs w:val="24"/>
          <w:lang w:val="ro-RO"/>
        </w:rPr>
        <w:t xml:space="preserve">, eventual </w:t>
      </w:r>
      <w:r w:rsidR="00A5250A" w:rsidRPr="00A5250A">
        <w:rPr>
          <w:rFonts w:ascii="Times New Roman" w:eastAsia="Calibri" w:hAnsi="Times New Roman" w:cs="Times New Roman"/>
          <w:color w:val="231F20"/>
          <w:sz w:val="24"/>
          <w:szCs w:val="24"/>
          <w:lang w:val="ro-RO"/>
        </w:rPr>
        <w:t>leucocitoză</w:t>
      </w:r>
      <w:r w:rsidR="00CC63F3">
        <w:rPr>
          <w:rFonts w:ascii="Times New Roman" w:eastAsia="Calibri" w:hAnsi="Times New Roman" w:cs="Times New Roman"/>
          <w:color w:val="231F20"/>
          <w:sz w:val="24"/>
          <w:szCs w:val="24"/>
          <w:lang w:val="ro-RO"/>
        </w:rPr>
        <w:t xml:space="preserve">. </w:t>
      </w:r>
      <w:r w:rsidR="001D3B42">
        <w:rPr>
          <w:rFonts w:ascii="Times New Roman" w:eastAsia="Calibri" w:hAnsi="Times New Roman" w:cs="Times New Roman"/>
          <w:color w:val="231F20"/>
          <w:sz w:val="24"/>
          <w:szCs w:val="24"/>
          <w:lang w:val="ro-RO"/>
        </w:rPr>
        <w:t>În mod particular, p</w:t>
      </w:r>
      <w:r w:rsidR="00CC63F3">
        <w:rPr>
          <w:rFonts w:ascii="Times New Roman" w:eastAsia="Calibri" w:hAnsi="Times New Roman" w:cs="Times New Roman"/>
          <w:color w:val="231F20"/>
          <w:sz w:val="24"/>
          <w:szCs w:val="24"/>
          <w:lang w:val="ro-RO"/>
        </w:rPr>
        <w:t>acien</w:t>
      </w:r>
      <w:r w:rsidR="00336EDB">
        <w:rPr>
          <w:rFonts w:ascii="Times New Roman" w:eastAsia="Calibri" w:hAnsi="Times New Roman" w:cs="Times New Roman"/>
          <w:color w:val="231F20"/>
          <w:sz w:val="24"/>
          <w:szCs w:val="24"/>
          <w:lang w:val="ro-RO"/>
        </w:rPr>
        <w:t>ții cu GEPA au hipereozinofilie, frecvent peste 15</w:t>
      </w:r>
      <w:r w:rsidR="00FB520A">
        <w:rPr>
          <w:rFonts w:ascii="Times New Roman" w:eastAsia="Calibri" w:hAnsi="Times New Roman" w:cs="Times New Roman"/>
          <w:color w:val="231F20"/>
          <w:sz w:val="24"/>
          <w:szCs w:val="24"/>
          <w:lang w:val="ro-RO"/>
        </w:rPr>
        <w:t>00 elemente/mm</w:t>
      </w:r>
      <w:r w:rsidR="00FB520A" w:rsidRPr="00FB520A">
        <w:rPr>
          <w:rFonts w:ascii="Times New Roman" w:eastAsia="Calibri" w:hAnsi="Times New Roman" w:cs="Times New Roman"/>
          <w:color w:val="231F20"/>
          <w:sz w:val="24"/>
          <w:szCs w:val="24"/>
          <w:vertAlign w:val="superscript"/>
          <w:lang w:val="ro-RO"/>
        </w:rPr>
        <w:t>3</w:t>
      </w:r>
      <w:r w:rsidR="00792CC9">
        <w:rPr>
          <w:rFonts w:ascii="Times New Roman" w:eastAsia="Calibri" w:hAnsi="Times New Roman" w:cs="Times New Roman"/>
          <w:color w:val="231F20"/>
          <w:sz w:val="24"/>
          <w:szCs w:val="24"/>
          <w:lang w:val="ro-RO"/>
        </w:rPr>
        <w:t xml:space="preserve"> precum și valori crescute ale imunoglobulinelor E. </w:t>
      </w:r>
      <w:r w:rsidR="002C6321">
        <w:rPr>
          <w:rFonts w:ascii="Times New Roman" w:eastAsia="Calibri" w:hAnsi="Times New Roman" w:cs="Times New Roman"/>
          <w:color w:val="231F20"/>
          <w:sz w:val="24"/>
          <w:szCs w:val="24"/>
          <w:lang w:val="ro-RO"/>
        </w:rPr>
        <w:t xml:space="preserve">La cei cu afectare </w:t>
      </w:r>
      <w:r w:rsidR="00A5250A" w:rsidRPr="00A5250A">
        <w:rPr>
          <w:rFonts w:ascii="Times New Roman" w:eastAsia="Calibri" w:hAnsi="Times New Roman" w:cs="Times New Roman"/>
          <w:color w:val="231F20"/>
          <w:sz w:val="24"/>
          <w:szCs w:val="24"/>
          <w:lang w:val="ro-RO"/>
        </w:rPr>
        <w:t>glomerular</w:t>
      </w:r>
      <w:r w:rsidR="002C6321">
        <w:rPr>
          <w:rFonts w:ascii="Times New Roman" w:eastAsia="Calibri" w:hAnsi="Times New Roman" w:cs="Times New Roman"/>
          <w:color w:val="231F20"/>
          <w:sz w:val="24"/>
          <w:szCs w:val="24"/>
          <w:lang w:val="ro-RO"/>
        </w:rPr>
        <w:t xml:space="preserve">ă </w:t>
      </w:r>
      <w:r w:rsidR="00AF113C">
        <w:rPr>
          <w:rFonts w:ascii="Times New Roman" w:eastAsia="Calibri" w:hAnsi="Times New Roman" w:cs="Times New Roman"/>
          <w:color w:val="231F20"/>
          <w:sz w:val="24"/>
          <w:szCs w:val="24"/>
          <w:lang w:val="ro-RO"/>
        </w:rPr>
        <w:t xml:space="preserve">întâlnim </w:t>
      </w:r>
      <w:r w:rsidR="00A5250A" w:rsidRPr="00A5250A">
        <w:rPr>
          <w:rFonts w:ascii="Times New Roman" w:eastAsia="Calibri" w:hAnsi="Times New Roman" w:cs="Times New Roman"/>
          <w:color w:val="231F20"/>
          <w:sz w:val="24"/>
          <w:szCs w:val="24"/>
          <w:lang w:val="ro-RO"/>
        </w:rPr>
        <w:t>hematurie, cilindrii hematici, proteinurie</w:t>
      </w:r>
      <w:r w:rsidR="00AF113C">
        <w:rPr>
          <w:rFonts w:ascii="Times New Roman" w:eastAsia="Calibri" w:hAnsi="Times New Roman" w:cs="Times New Roman"/>
          <w:color w:val="231F20"/>
          <w:sz w:val="24"/>
          <w:szCs w:val="24"/>
          <w:lang w:val="ro-RO"/>
        </w:rPr>
        <w:t xml:space="preserve"> frecvent de rang nefrotic dar și</w:t>
      </w:r>
      <w:r w:rsidR="00A5250A" w:rsidRPr="00A5250A">
        <w:rPr>
          <w:rFonts w:ascii="Times New Roman" w:eastAsia="Calibri" w:hAnsi="Times New Roman" w:cs="Times New Roman"/>
          <w:color w:val="231F20"/>
          <w:sz w:val="24"/>
          <w:szCs w:val="24"/>
          <w:lang w:val="ro-RO"/>
        </w:rPr>
        <w:t xml:space="preserve"> retenție azotată în cazurile severe. Evaluarea imagistică, în special tomografia computerizată</w:t>
      </w:r>
      <w:r w:rsidR="00437C4C">
        <w:rPr>
          <w:rFonts w:ascii="Times New Roman" w:eastAsia="Calibri" w:hAnsi="Times New Roman" w:cs="Times New Roman"/>
          <w:color w:val="231F20"/>
          <w:sz w:val="24"/>
          <w:szCs w:val="24"/>
          <w:lang w:val="ro-RO"/>
        </w:rPr>
        <w:t xml:space="preserve"> pulmonară</w:t>
      </w:r>
      <w:r w:rsidR="00A5250A" w:rsidRPr="00A5250A">
        <w:rPr>
          <w:rFonts w:ascii="Times New Roman" w:eastAsia="Calibri" w:hAnsi="Times New Roman" w:cs="Times New Roman"/>
          <w:color w:val="231F20"/>
          <w:sz w:val="24"/>
          <w:szCs w:val="24"/>
          <w:lang w:val="ro-RO"/>
        </w:rPr>
        <w:t xml:space="preserve"> este foarte utilă pentru evaluarea extensiei</w:t>
      </w:r>
      <w:r w:rsidR="00A17393">
        <w:rPr>
          <w:rFonts w:ascii="Times New Roman" w:eastAsia="Calibri" w:hAnsi="Times New Roman" w:cs="Times New Roman"/>
          <w:color w:val="231F20"/>
          <w:sz w:val="24"/>
          <w:szCs w:val="24"/>
          <w:lang w:val="ro-RO"/>
        </w:rPr>
        <w:t xml:space="preserve"> și tipului</w:t>
      </w:r>
      <w:r w:rsidR="00A5250A" w:rsidRPr="00A5250A">
        <w:rPr>
          <w:rFonts w:ascii="Times New Roman" w:eastAsia="Calibri" w:hAnsi="Times New Roman" w:cs="Times New Roman"/>
          <w:color w:val="231F20"/>
          <w:sz w:val="24"/>
          <w:szCs w:val="24"/>
          <w:lang w:val="ro-RO"/>
        </w:rPr>
        <w:t xml:space="preserve"> lezional, dar și </w:t>
      </w:r>
      <w:r w:rsidR="00437C4C">
        <w:rPr>
          <w:rFonts w:ascii="Times New Roman" w:eastAsia="Calibri" w:hAnsi="Times New Roman" w:cs="Times New Roman"/>
          <w:color w:val="231F20"/>
          <w:sz w:val="24"/>
          <w:szCs w:val="24"/>
          <w:lang w:val="ro-RO"/>
        </w:rPr>
        <w:t xml:space="preserve">pentru </w:t>
      </w:r>
      <w:r w:rsidR="00A5250A" w:rsidRPr="00A5250A">
        <w:rPr>
          <w:rFonts w:ascii="Times New Roman" w:eastAsia="Calibri" w:hAnsi="Times New Roman" w:cs="Times New Roman"/>
          <w:color w:val="231F20"/>
          <w:sz w:val="24"/>
          <w:szCs w:val="24"/>
          <w:lang w:val="ro-RO"/>
        </w:rPr>
        <w:t>monitorizarea răspunsului la tratament.</w:t>
      </w:r>
    </w:p>
    <w:p w14:paraId="5E680AD2" w14:textId="77777777" w:rsidR="004604D6" w:rsidRDefault="000C302D" w:rsidP="00DC122E">
      <w:pPr>
        <w:spacing w:after="20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Prezența ANCA este marker serologic important al GPA și PAM, în timp ce în cazul GEPA acești anticorpi pot lipsi. Sunt determinați prin imunofluorescență (IF) sau prin metode antigen-specifice de tip ELISA (enzyme-linked immunosorbent assay). IF generează două tipuri majore de patternuri, p-ANCA (perinuclear) cu antigen țintă mieloperoxidaza și c-ANCA (citoplasmic) cu țintă antigenică proteinaza-3. Anticorpii de tip p-ANCA/anti-MPO pot fi întâlniți la 60–80% dintre pacienții cu poliangiita microscopică (PAM), la 20–40% dintre cei cu granulomatoza eozinofilică cu poliangiită (GEPA) dar și în lupusul eritematos sistemic, sindromul Sjögren, poliartrita reumatoidă sau administrarea anumitor medicamente (propiltiouracil, minociclină, hidralazină etc). Anticorpii de tip c-ANCA/anti-PR3 sunt înalt specifici (80–90%) și sensibili pentru granulomatoza cu poliangiită forma sistemică clinic activă. Nivelul lor pare a corela cu activitatea bolii.</w:t>
      </w:r>
    </w:p>
    <w:p w14:paraId="5874056F" w14:textId="77777777" w:rsidR="00793AFE" w:rsidRDefault="004B52EB" w:rsidP="00DC122E">
      <w:pPr>
        <w:spacing w:after="200" w:line="360" w:lineRule="auto"/>
        <w:ind w:firstLine="720"/>
        <w:jc w:val="both"/>
        <w:rPr>
          <w:rFonts w:ascii="Times New Roman" w:eastAsia="Times New Roman" w:hAnsi="Times New Roman" w:cs="Times New Roman"/>
          <w:sz w:val="24"/>
          <w:szCs w:val="24"/>
          <w:lang w:val="en-US"/>
        </w:rPr>
      </w:pPr>
      <w:r w:rsidRPr="00CB27B6">
        <w:rPr>
          <w:rFonts w:ascii="Times New Roman" w:eastAsia="Times New Roman" w:hAnsi="Times New Roman" w:cs="Times New Roman"/>
          <w:b/>
          <w:bCs/>
          <w:sz w:val="24"/>
          <w:szCs w:val="24"/>
          <w:lang w:val="en-US"/>
        </w:rPr>
        <w:t>Diagnosticul pozitiv</w:t>
      </w:r>
      <w:r>
        <w:rPr>
          <w:rFonts w:ascii="Times New Roman" w:eastAsia="Times New Roman" w:hAnsi="Times New Roman" w:cs="Times New Roman"/>
          <w:sz w:val="24"/>
          <w:szCs w:val="24"/>
          <w:lang w:val="en-US"/>
        </w:rPr>
        <w:t xml:space="preserve"> </w:t>
      </w:r>
      <w:r w:rsidR="00B31AC0">
        <w:rPr>
          <w:rFonts w:ascii="Times New Roman" w:eastAsia="Times New Roman" w:hAnsi="Times New Roman" w:cs="Times New Roman"/>
          <w:sz w:val="24"/>
          <w:szCs w:val="24"/>
          <w:lang w:val="en-US"/>
        </w:rPr>
        <w:t>este susținut de prezența manifestărilor clinice sugestive</w:t>
      </w:r>
      <w:r w:rsidR="006B0D8E">
        <w:rPr>
          <w:rFonts w:ascii="Times New Roman" w:eastAsia="Times New Roman" w:hAnsi="Times New Roman" w:cs="Times New Roman"/>
          <w:sz w:val="24"/>
          <w:szCs w:val="24"/>
          <w:lang w:val="en-US"/>
        </w:rPr>
        <w:t xml:space="preserve"> pentru fiecare formă în parte</w:t>
      </w:r>
      <w:r w:rsidR="00122417">
        <w:rPr>
          <w:rFonts w:ascii="Times New Roman" w:eastAsia="Times New Roman" w:hAnsi="Times New Roman" w:cs="Times New Roman"/>
          <w:sz w:val="24"/>
          <w:szCs w:val="24"/>
          <w:lang w:val="en-US"/>
        </w:rPr>
        <w:t>, asociate cu sindrom inflamator bine reprezentat</w:t>
      </w:r>
      <w:r w:rsidR="00D74539">
        <w:rPr>
          <w:rFonts w:ascii="Times New Roman" w:eastAsia="Times New Roman" w:hAnsi="Times New Roman" w:cs="Times New Roman"/>
          <w:sz w:val="24"/>
          <w:szCs w:val="24"/>
          <w:lang w:val="en-US"/>
        </w:rPr>
        <w:t>, imagistică</w:t>
      </w:r>
      <w:r w:rsidR="006B0D8E">
        <w:rPr>
          <w:rFonts w:ascii="Times New Roman" w:eastAsia="Times New Roman" w:hAnsi="Times New Roman" w:cs="Times New Roman"/>
          <w:sz w:val="24"/>
          <w:szCs w:val="24"/>
          <w:lang w:val="en-US"/>
        </w:rPr>
        <w:t xml:space="preserve"> și pozitivitate de </w:t>
      </w:r>
      <w:r w:rsidR="00D74539">
        <w:rPr>
          <w:rFonts w:ascii="Times New Roman" w:eastAsia="Times New Roman" w:hAnsi="Times New Roman" w:cs="Times New Roman"/>
          <w:sz w:val="24"/>
          <w:szCs w:val="24"/>
          <w:lang w:val="en-US"/>
        </w:rPr>
        <w:t>ANCA. Ideal, atunci când este posibil</w:t>
      </w:r>
      <w:r w:rsidR="00610AC5">
        <w:rPr>
          <w:rFonts w:ascii="Times New Roman" w:eastAsia="Times New Roman" w:hAnsi="Times New Roman" w:cs="Times New Roman"/>
          <w:sz w:val="24"/>
          <w:szCs w:val="24"/>
          <w:lang w:val="en-US"/>
        </w:rPr>
        <w:t xml:space="preserve"> ar trebui efectuată biopsie</w:t>
      </w:r>
      <w:r w:rsidR="009E7153">
        <w:rPr>
          <w:rFonts w:ascii="Times New Roman" w:eastAsia="Times New Roman" w:hAnsi="Times New Roman" w:cs="Times New Roman"/>
          <w:sz w:val="24"/>
          <w:szCs w:val="24"/>
          <w:lang w:val="en-US"/>
        </w:rPr>
        <w:t xml:space="preserve"> cu dovada prezenței inflamației vasculare sau identificarea aspectului granulomatos. </w:t>
      </w:r>
    </w:p>
    <w:p w14:paraId="760169C8" w14:textId="2E2E0F84" w:rsidR="00681492" w:rsidRDefault="00681492" w:rsidP="00DC122E">
      <w:pPr>
        <w:spacing w:after="20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În anul 2022 au </w:t>
      </w:r>
      <w:r w:rsidR="00C250BA">
        <w:rPr>
          <w:rFonts w:ascii="Times New Roman" w:eastAsia="Times New Roman" w:hAnsi="Times New Roman" w:cs="Times New Roman"/>
          <w:sz w:val="24"/>
          <w:szCs w:val="24"/>
          <w:lang w:val="en-US"/>
        </w:rPr>
        <w:t xml:space="preserve">fost publicate noile criterii ACR/EULAR pentru </w:t>
      </w:r>
      <w:r w:rsidR="008E7DB6">
        <w:rPr>
          <w:rFonts w:ascii="Times New Roman" w:eastAsia="Times New Roman" w:hAnsi="Times New Roman" w:cs="Times New Roman"/>
          <w:sz w:val="24"/>
          <w:szCs w:val="24"/>
          <w:lang w:val="en-US"/>
        </w:rPr>
        <w:t>fiecare dintre cele trei vasculite ANCA pozitive</w:t>
      </w:r>
      <w:r w:rsidR="00F92ADF">
        <w:rPr>
          <w:rFonts w:ascii="Times New Roman" w:eastAsia="Times New Roman" w:hAnsi="Times New Roman" w:cs="Times New Roman"/>
          <w:sz w:val="24"/>
          <w:szCs w:val="24"/>
          <w:lang w:val="en-US"/>
        </w:rPr>
        <w:t>.</w:t>
      </w:r>
      <w:r w:rsidR="0009101F">
        <w:rPr>
          <w:rFonts w:ascii="Times New Roman" w:eastAsia="Times New Roman" w:hAnsi="Times New Roman" w:cs="Times New Roman"/>
          <w:sz w:val="24"/>
          <w:szCs w:val="24"/>
          <w:lang w:val="en-US"/>
        </w:rPr>
        <w:t xml:space="preserve"> </w:t>
      </w:r>
      <w:r w:rsidR="00445E3F">
        <w:rPr>
          <w:rFonts w:ascii="Times New Roman" w:eastAsia="Times New Roman" w:hAnsi="Times New Roman" w:cs="Times New Roman"/>
          <w:sz w:val="24"/>
          <w:szCs w:val="24"/>
          <w:lang w:val="en-US"/>
        </w:rPr>
        <w:t>E</w:t>
      </w:r>
      <w:r w:rsidR="0009101F">
        <w:rPr>
          <w:rFonts w:ascii="Times New Roman" w:eastAsia="Times New Roman" w:hAnsi="Times New Roman" w:cs="Times New Roman"/>
          <w:sz w:val="24"/>
          <w:szCs w:val="24"/>
          <w:lang w:val="en-US"/>
        </w:rPr>
        <w:t>ste vorba de</w:t>
      </w:r>
      <w:r w:rsidR="005D1072">
        <w:rPr>
          <w:rFonts w:ascii="Times New Roman" w:eastAsia="Times New Roman" w:hAnsi="Times New Roman" w:cs="Times New Roman"/>
          <w:sz w:val="24"/>
          <w:szCs w:val="24"/>
          <w:lang w:val="en-US"/>
        </w:rPr>
        <w:t xml:space="preserve"> criterii </w:t>
      </w:r>
      <w:r w:rsidR="00B07E3B">
        <w:rPr>
          <w:rFonts w:ascii="Times New Roman" w:eastAsia="Times New Roman" w:hAnsi="Times New Roman" w:cs="Times New Roman"/>
          <w:sz w:val="24"/>
          <w:szCs w:val="24"/>
          <w:lang w:val="en-US"/>
        </w:rPr>
        <w:t xml:space="preserve">care trebuie aplicate pentru a putea clasifica un pacient cu o anume </w:t>
      </w:r>
      <w:r w:rsidR="00633B48">
        <w:rPr>
          <w:rFonts w:ascii="Times New Roman" w:eastAsia="Times New Roman" w:hAnsi="Times New Roman" w:cs="Times New Roman"/>
          <w:sz w:val="24"/>
          <w:szCs w:val="24"/>
          <w:lang w:val="en-US"/>
        </w:rPr>
        <w:t>formă</w:t>
      </w:r>
      <w:r w:rsidR="00630FDB">
        <w:rPr>
          <w:rFonts w:ascii="Times New Roman" w:eastAsia="Times New Roman" w:hAnsi="Times New Roman" w:cs="Times New Roman"/>
          <w:sz w:val="24"/>
          <w:szCs w:val="24"/>
          <w:lang w:val="en-US"/>
        </w:rPr>
        <w:t xml:space="preserve"> atunci când diagnosticul de vasculită de vas mediu sau mic a fost deja </w:t>
      </w:r>
      <w:r w:rsidR="008C1AEA">
        <w:rPr>
          <w:rFonts w:ascii="Times New Roman" w:eastAsia="Times New Roman" w:hAnsi="Times New Roman" w:cs="Times New Roman"/>
          <w:sz w:val="24"/>
          <w:szCs w:val="24"/>
          <w:lang w:val="en-US"/>
        </w:rPr>
        <w:t>stabilit (Tabelul 7</w:t>
      </w:r>
      <w:r w:rsidR="002A6EAB">
        <w:rPr>
          <w:rFonts w:ascii="Times New Roman" w:eastAsia="Times New Roman" w:hAnsi="Times New Roman" w:cs="Times New Roman"/>
          <w:sz w:val="24"/>
          <w:szCs w:val="24"/>
          <w:lang w:val="en-US"/>
        </w:rPr>
        <w:t>, Tabelul 8, Tabelul 9</w:t>
      </w:r>
      <w:r w:rsidR="008C1AEA">
        <w:rPr>
          <w:rFonts w:ascii="Times New Roman" w:eastAsia="Times New Roman" w:hAnsi="Times New Roman" w:cs="Times New Roman"/>
          <w:sz w:val="24"/>
          <w:szCs w:val="24"/>
          <w:lang w:val="en-US"/>
        </w:rPr>
        <w:t>)</w:t>
      </w:r>
      <w:r w:rsidR="00633B48">
        <w:rPr>
          <w:rFonts w:ascii="Times New Roman" w:eastAsia="Times New Roman" w:hAnsi="Times New Roman" w:cs="Times New Roman"/>
          <w:sz w:val="24"/>
          <w:szCs w:val="24"/>
          <w:lang w:val="en-US"/>
        </w:rPr>
        <w:t xml:space="preserve">. </w:t>
      </w:r>
    </w:p>
    <w:p w14:paraId="2F442487" w14:textId="0C411A4C" w:rsidR="000467D4" w:rsidRDefault="008C1AEA" w:rsidP="00DC122E">
      <w:pPr>
        <w:spacing w:after="200" w:line="360" w:lineRule="auto"/>
        <w:ind w:firstLine="720"/>
        <w:jc w:val="both"/>
        <w:rPr>
          <w:rFonts w:ascii="Times New Roman" w:eastAsia="Times New Roman" w:hAnsi="Times New Roman" w:cs="Times New Roman"/>
          <w:sz w:val="24"/>
          <w:szCs w:val="24"/>
          <w:lang w:val="en-US"/>
        </w:rPr>
      </w:pPr>
      <w:r w:rsidRPr="008C1AEA">
        <w:rPr>
          <w:rFonts w:ascii="Times New Roman" w:eastAsia="Times New Roman" w:hAnsi="Times New Roman" w:cs="Times New Roman"/>
          <w:b/>
          <w:bCs/>
          <w:sz w:val="24"/>
          <w:szCs w:val="24"/>
          <w:lang w:val="en-US"/>
        </w:rPr>
        <w:t>Tabelul 7.</w:t>
      </w:r>
      <w:r>
        <w:rPr>
          <w:rFonts w:ascii="Times New Roman" w:eastAsia="Times New Roman" w:hAnsi="Times New Roman" w:cs="Times New Roman"/>
          <w:sz w:val="24"/>
          <w:szCs w:val="24"/>
          <w:lang w:val="en-US"/>
        </w:rPr>
        <w:t xml:space="preserve"> </w:t>
      </w:r>
      <w:r w:rsidR="000467D4">
        <w:rPr>
          <w:rFonts w:ascii="Times New Roman" w:eastAsia="Times New Roman" w:hAnsi="Times New Roman" w:cs="Times New Roman"/>
          <w:sz w:val="24"/>
          <w:szCs w:val="24"/>
          <w:lang w:val="en-US"/>
        </w:rPr>
        <w:t>Criteriile de clasificare ACR/EULAR 2022</w:t>
      </w:r>
      <w:r w:rsidR="009C2755">
        <w:rPr>
          <w:rFonts w:ascii="Times New Roman" w:eastAsia="Times New Roman" w:hAnsi="Times New Roman" w:cs="Times New Roman"/>
          <w:sz w:val="24"/>
          <w:szCs w:val="24"/>
          <w:lang w:val="en-US"/>
        </w:rPr>
        <w:t xml:space="preserve"> pentru granulomatoza cu poliangiită</w:t>
      </w:r>
      <w:r w:rsidR="00EA7659">
        <w:rPr>
          <w:rFonts w:ascii="Times New Roman" w:eastAsia="Times New Roman" w:hAnsi="Times New Roman" w:cs="Times New Roman"/>
          <w:sz w:val="24"/>
          <w:szCs w:val="24"/>
          <w:lang w:val="en-US"/>
        </w:rPr>
        <w:t>*</w:t>
      </w:r>
      <w:r w:rsidR="009C2755">
        <w:rPr>
          <w:rFonts w:ascii="Times New Roman" w:eastAsia="Times New Roman" w:hAnsi="Times New Roman" w:cs="Times New Roman"/>
          <w:sz w:val="24"/>
          <w:szCs w:val="24"/>
          <w:lang w:val="en-US"/>
        </w:rPr>
        <w:t xml:space="preserve">, adaptate după </w:t>
      </w:r>
      <w:r w:rsidR="008D33C9" w:rsidRPr="00EA7659">
        <w:rPr>
          <w:rFonts w:ascii="Times New Roman" w:eastAsia="Times New Roman" w:hAnsi="Times New Roman" w:cs="Times New Roman"/>
          <w:i/>
          <w:iCs/>
          <w:sz w:val="24"/>
          <w:szCs w:val="24"/>
          <w:lang w:val="en-US"/>
        </w:rPr>
        <w:t>Robson JC et al, Ann Rheum Dis 2022</w:t>
      </w:r>
    </w:p>
    <w:tbl>
      <w:tblPr>
        <w:tblStyle w:val="TableGrid"/>
        <w:tblW w:w="0" w:type="auto"/>
        <w:tblLook w:val="04A0" w:firstRow="1" w:lastRow="0" w:firstColumn="1" w:lastColumn="0" w:noHBand="0" w:noVBand="1"/>
      </w:tblPr>
      <w:tblGrid>
        <w:gridCol w:w="8000"/>
        <w:gridCol w:w="1016"/>
      </w:tblGrid>
      <w:tr w:rsidR="00E70793" w14:paraId="0BB192F2" w14:textId="77777777" w:rsidTr="00EA7659">
        <w:tc>
          <w:tcPr>
            <w:tcW w:w="8075" w:type="dxa"/>
          </w:tcPr>
          <w:p w14:paraId="643A2715" w14:textId="77777777" w:rsidR="00E70793" w:rsidRPr="008C1AEA" w:rsidRDefault="00B463E0" w:rsidP="00DC122E">
            <w:pPr>
              <w:spacing w:after="200" w:line="360" w:lineRule="auto"/>
              <w:jc w:val="both"/>
              <w:rPr>
                <w:rFonts w:ascii="Times New Roman" w:eastAsia="Times New Roman" w:hAnsi="Times New Roman" w:cs="Times New Roman"/>
                <w:b/>
                <w:bCs/>
                <w:sz w:val="24"/>
                <w:szCs w:val="24"/>
                <w:lang w:val="en-US"/>
              </w:rPr>
            </w:pPr>
            <w:r w:rsidRPr="008C1AEA">
              <w:rPr>
                <w:rFonts w:ascii="Times New Roman" w:eastAsia="Times New Roman" w:hAnsi="Times New Roman" w:cs="Times New Roman"/>
                <w:b/>
                <w:bCs/>
                <w:sz w:val="24"/>
                <w:szCs w:val="24"/>
                <w:lang w:val="en-US"/>
              </w:rPr>
              <w:lastRenderedPageBreak/>
              <w:t>CRITERII CLINICE</w:t>
            </w:r>
          </w:p>
        </w:tc>
        <w:tc>
          <w:tcPr>
            <w:tcW w:w="941" w:type="dxa"/>
          </w:tcPr>
          <w:p w14:paraId="25FA3AE1" w14:textId="77777777" w:rsidR="00E70793" w:rsidRPr="008C1AEA" w:rsidRDefault="003E2882" w:rsidP="00DC122E">
            <w:pPr>
              <w:spacing w:after="200" w:line="360" w:lineRule="auto"/>
              <w:jc w:val="both"/>
              <w:rPr>
                <w:rFonts w:ascii="Times New Roman" w:eastAsia="Times New Roman" w:hAnsi="Times New Roman" w:cs="Times New Roman"/>
                <w:b/>
                <w:bCs/>
                <w:sz w:val="24"/>
                <w:szCs w:val="24"/>
                <w:lang w:val="en-US"/>
              </w:rPr>
            </w:pPr>
            <w:r w:rsidRPr="008C1AEA">
              <w:rPr>
                <w:rFonts w:ascii="Times New Roman" w:eastAsia="Times New Roman" w:hAnsi="Times New Roman" w:cs="Times New Roman"/>
                <w:b/>
                <w:bCs/>
                <w:sz w:val="24"/>
                <w:szCs w:val="24"/>
                <w:lang w:val="en-US"/>
              </w:rPr>
              <w:t>Punctaj</w:t>
            </w:r>
          </w:p>
        </w:tc>
      </w:tr>
      <w:tr w:rsidR="00E70793" w14:paraId="3F3F807A" w14:textId="77777777" w:rsidTr="00EA7659">
        <w:tc>
          <w:tcPr>
            <w:tcW w:w="8075" w:type="dxa"/>
          </w:tcPr>
          <w:p w14:paraId="365F1326" w14:textId="77777777" w:rsidR="00E70793" w:rsidRDefault="008B38FA"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Afectarea nazală (epistaxis, cruste, </w:t>
            </w:r>
            <w:r w:rsidR="00032D63">
              <w:rPr>
                <w:rFonts w:ascii="Times New Roman" w:eastAsia="Times New Roman" w:hAnsi="Times New Roman" w:cs="Times New Roman"/>
                <w:sz w:val="24"/>
                <w:szCs w:val="24"/>
                <w:lang w:val="en-US"/>
              </w:rPr>
              <w:t xml:space="preserve">ulcere, congestie, </w:t>
            </w:r>
            <w:r w:rsidR="003E2882">
              <w:rPr>
                <w:rFonts w:ascii="Times New Roman" w:eastAsia="Times New Roman" w:hAnsi="Times New Roman" w:cs="Times New Roman"/>
                <w:sz w:val="24"/>
                <w:szCs w:val="24"/>
                <w:lang w:val="en-US"/>
              </w:rPr>
              <w:t>defecte septale sau perforație</w:t>
            </w:r>
            <w:r w:rsidR="001D15FB">
              <w:rPr>
                <w:rFonts w:ascii="Times New Roman" w:eastAsia="Times New Roman" w:hAnsi="Times New Roman" w:cs="Times New Roman"/>
                <w:sz w:val="24"/>
                <w:szCs w:val="24"/>
                <w:lang w:val="en-US"/>
              </w:rPr>
              <w:t xml:space="preserve"> </w:t>
            </w:r>
            <w:r w:rsidR="00256A80">
              <w:rPr>
                <w:rFonts w:ascii="Times New Roman" w:eastAsia="Times New Roman" w:hAnsi="Times New Roman" w:cs="Times New Roman"/>
                <w:sz w:val="24"/>
                <w:szCs w:val="24"/>
                <w:lang w:val="en-US"/>
              </w:rPr>
              <w:t>de</w:t>
            </w:r>
            <w:r w:rsidR="001D15FB">
              <w:rPr>
                <w:rFonts w:ascii="Times New Roman" w:eastAsia="Times New Roman" w:hAnsi="Times New Roman" w:cs="Times New Roman"/>
                <w:sz w:val="24"/>
                <w:szCs w:val="24"/>
                <w:lang w:val="en-US"/>
              </w:rPr>
              <w:t xml:space="preserve"> sept nazal)</w:t>
            </w:r>
          </w:p>
        </w:tc>
        <w:tc>
          <w:tcPr>
            <w:tcW w:w="941" w:type="dxa"/>
          </w:tcPr>
          <w:p w14:paraId="786E6C59" w14:textId="77777777" w:rsidR="00E70793" w:rsidRDefault="00256A80"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E70793" w14:paraId="31867332" w14:textId="77777777" w:rsidTr="00EA7659">
        <w:tc>
          <w:tcPr>
            <w:tcW w:w="8075" w:type="dxa"/>
          </w:tcPr>
          <w:p w14:paraId="0230A2C3" w14:textId="77777777" w:rsidR="00E70793" w:rsidRDefault="00256A80"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Afectare </w:t>
            </w:r>
            <w:r w:rsidR="006235EA">
              <w:rPr>
                <w:rFonts w:ascii="Times New Roman" w:eastAsia="Times New Roman" w:hAnsi="Times New Roman" w:cs="Times New Roman"/>
                <w:sz w:val="24"/>
                <w:szCs w:val="24"/>
                <w:lang w:val="en-US"/>
              </w:rPr>
              <w:t>a cartilajelor (inflamație a cartilajului urechii sau nazal</w:t>
            </w:r>
            <w:r w:rsidR="009B4856">
              <w:rPr>
                <w:rFonts w:ascii="Times New Roman" w:eastAsia="Times New Roman" w:hAnsi="Times New Roman" w:cs="Times New Roman"/>
                <w:sz w:val="24"/>
                <w:szCs w:val="24"/>
                <w:lang w:val="en-US"/>
              </w:rPr>
              <w:t xml:space="preserve">, voce răgușită sau stridor, </w:t>
            </w:r>
            <w:r w:rsidR="008E2AA6">
              <w:rPr>
                <w:rFonts w:ascii="Times New Roman" w:eastAsia="Times New Roman" w:hAnsi="Times New Roman" w:cs="Times New Roman"/>
                <w:sz w:val="24"/>
                <w:szCs w:val="24"/>
                <w:lang w:val="en-US"/>
              </w:rPr>
              <w:t>afectare endobronșică, deformare în șa a nasului)</w:t>
            </w:r>
          </w:p>
        </w:tc>
        <w:tc>
          <w:tcPr>
            <w:tcW w:w="941" w:type="dxa"/>
          </w:tcPr>
          <w:p w14:paraId="1EE0CF89" w14:textId="77777777" w:rsidR="00E70793" w:rsidRDefault="00AA429C"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E70793" w14:paraId="3DF944A6" w14:textId="77777777" w:rsidTr="00EA7659">
        <w:tc>
          <w:tcPr>
            <w:tcW w:w="8075" w:type="dxa"/>
          </w:tcPr>
          <w:p w14:paraId="0DFE0708" w14:textId="77777777" w:rsidR="00E70793" w:rsidRDefault="005336EE"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Pierdere de auz </w:t>
            </w:r>
          </w:p>
        </w:tc>
        <w:tc>
          <w:tcPr>
            <w:tcW w:w="941" w:type="dxa"/>
          </w:tcPr>
          <w:p w14:paraId="6560646B" w14:textId="77777777" w:rsidR="00E70793" w:rsidRDefault="00AA429C"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E70793" w14:paraId="443DC2DF" w14:textId="77777777" w:rsidTr="00EA7659">
        <w:tc>
          <w:tcPr>
            <w:tcW w:w="8075" w:type="dxa"/>
          </w:tcPr>
          <w:p w14:paraId="1ECB5DBD" w14:textId="77777777" w:rsidR="00E70793" w:rsidRPr="008C1AEA" w:rsidRDefault="00AA429C" w:rsidP="00EA7659">
            <w:pPr>
              <w:spacing w:after="200"/>
              <w:jc w:val="both"/>
              <w:rPr>
                <w:rFonts w:ascii="Times New Roman" w:eastAsia="Times New Roman" w:hAnsi="Times New Roman" w:cs="Times New Roman"/>
                <w:b/>
                <w:bCs/>
                <w:sz w:val="24"/>
                <w:szCs w:val="24"/>
                <w:lang w:val="en-US"/>
              </w:rPr>
            </w:pPr>
            <w:r w:rsidRPr="008C1AEA">
              <w:rPr>
                <w:rFonts w:ascii="Times New Roman" w:eastAsia="Times New Roman" w:hAnsi="Times New Roman" w:cs="Times New Roman"/>
                <w:b/>
                <w:bCs/>
                <w:sz w:val="24"/>
                <w:szCs w:val="24"/>
                <w:lang w:val="en-US"/>
              </w:rPr>
              <w:t>CRITERII</w:t>
            </w:r>
            <w:r w:rsidR="00211F98" w:rsidRPr="008C1AEA">
              <w:rPr>
                <w:rFonts w:ascii="Times New Roman" w:eastAsia="Times New Roman" w:hAnsi="Times New Roman" w:cs="Times New Roman"/>
                <w:b/>
                <w:bCs/>
                <w:sz w:val="24"/>
                <w:szCs w:val="24"/>
                <w:lang w:val="en-US"/>
              </w:rPr>
              <w:t xml:space="preserve"> DE LABORATOR, IMAGISTICE sau HISTOLOGICE</w:t>
            </w:r>
          </w:p>
        </w:tc>
        <w:tc>
          <w:tcPr>
            <w:tcW w:w="941" w:type="dxa"/>
          </w:tcPr>
          <w:p w14:paraId="7AD7CF6F" w14:textId="77777777" w:rsidR="00E70793" w:rsidRDefault="00E70793" w:rsidP="00221C53">
            <w:pPr>
              <w:spacing w:after="200"/>
              <w:jc w:val="center"/>
              <w:rPr>
                <w:rFonts w:ascii="Times New Roman" w:eastAsia="Times New Roman" w:hAnsi="Times New Roman" w:cs="Times New Roman"/>
                <w:sz w:val="24"/>
                <w:szCs w:val="24"/>
                <w:lang w:val="en-US"/>
              </w:rPr>
            </w:pPr>
          </w:p>
        </w:tc>
      </w:tr>
      <w:tr w:rsidR="00E70793" w14:paraId="73CBB087" w14:textId="77777777" w:rsidTr="00EA7659">
        <w:tc>
          <w:tcPr>
            <w:tcW w:w="8075" w:type="dxa"/>
          </w:tcPr>
          <w:p w14:paraId="1069AE12" w14:textId="77777777" w:rsidR="00E70793" w:rsidRDefault="00787C52"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Pozitivitate c-ANCA sau anticorpi anti-proteinaza 3</w:t>
            </w:r>
          </w:p>
        </w:tc>
        <w:tc>
          <w:tcPr>
            <w:tcW w:w="941" w:type="dxa"/>
          </w:tcPr>
          <w:p w14:paraId="41479FD6" w14:textId="77777777" w:rsidR="00E70793" w:rsidRDefault="008779E9"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E70793" w14:paraId="701B31C8" w14:textId="77777777" w:rsidTr="00EA7659">
        <w:tc>
          <w:tcPr>
            <w:tcW w:w="8075" w:type="dxa"/>
          </w:tcPr>
          <w:p w14:paraId="68401870" w14:textId="77777777" w:rsidR="00E70793" w:rsidRDefault="00D733B8"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Noduli, mase pulmonare sau cavități la imagistica pulmonară</w:t>
            </w:r>
          </w:p>
        </w:tc>
        <w:tc>
          <w:tcPr>
            <w:tcW w:w="941" w:type="dxa"/>
          </w:tcPr>
          <w:p w14:paraId="7DF66204" w14:textId="77777777" w:rsidR="00E70793" w:rsidRDefault="00D60B13"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D733B8" w14:paraId="44A45C77" w14:textId="77777777" w:rsidTr="00EA7659">
        <w:tc>
          <w:tcPr>
            <w:tcW w:w="8075" w:type="dxa"/>
          </w:tcPr>
          <w:p w14:paraId="5E51A916" w14:textId="77777777" w:rsidR="00D733B8" w:rsidRDefault="00D60B13"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Granuloame, inflamație granulomatoasă</w:t>
            </w:r>
            <w:r w:rsidR="00AF42DD">
              <w:rPr>
                <w:rFonts w:ascii="Times New Roman" w:eastAsia="Times New Roman" w:hAnsi="Times New Roman" w:cs="Times New Roman"/>
                <w:sz w:val="24"/>
                <w:szCs w:val="24"/>
                <w:lang w:val="en-US"/>
              </w:rPr>
              <w:t xml:space="preserve"> extravasculară sau celule gigante la biopsie</w:t>
            </w:r>
          </w:p>
        </w:tc>
        <w:tc>
          <w:tcPr>
            <w:tcW w:w="941" w:type="dxa"/>
          </w:tcPr>
          <w:p w14:paraId="7DD08C54" w14:textId="77777777" w:rsidR="00D733B8" w:rsidRDefault="001D0119"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E70793" w14:paraId="5DAF00E7" w14:textId="77777777" w:rsidTr="00EA7659">
        <w:tc>
          <w:tcPr>
            <w:tcW w:w="8075" w:type="dxa"/>
          </w:tcPr>
          <w:p w14:paraId="707C1513" w14:textId="77777777" w:rsidR="00E70793" w:rsidRDefault="001D0119"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Inflamație,</w:t>
            </w:r>
            <w:r w:rsidR="00A173FC">
              <w:rPr>
                <w:rFonts w:ascii="Times New Roman" w:eastAsia="Times New Roman" w:hAnsi="Times New Roman" w:cs="Times New Roman"/>
                <w:sz w:val="24"/>
                <w:szCs w:val="24"/>
                <w:lang w:val="en-US"/>
              </w:rPr>
              <w:t xml:space="preserve"> consolidare sau efuziuni ale sinusurilor nazale sau paranazale</w:t>
            </w:r>
            <w:r w:rsidR="00802B84">
              <w:rPr>
                <w:rFonts w:ascii="Times New Roman" w:eastAsia="Times New Roman" w:hAnsi="Times New Roman" w:cs="Times New Roman"/>
                <w:sz w:val="24"/>
                <w:szCs w:val="24"/>
                <w:lang w:val="en-US"/>
              </w:rPr>
              <w:t>, mastoidită</w:t>
            </w:r>
            <w:r w:rsidR="00A173FC">
              <w:rPr>
                <w:rFonts w:ascii="Times New Roman" w:eastAsia="Times New Roman" w:hAnsi="Times New Roman" w:cs="Times New Roman"/>
                <w:sz w:val="24"/>
                <w:szCs w:val="24"/>
                <w:lang w:val="en-US"/>
              </w:rPr>
              <w:t xml:space="preserve"> la imagistică</w:t>
            </w:r>
          </w:p>
        </w:tc>
        <w:tc>
          <w:tcPr>
            <w:tcW w:w="941" w:type="dxa"/>
          </w:tcPr>
          <w:p w14:paraId="63415D8E" w14:textId="77777777" w:rsidR="00E70793" w:rsidRDefault="00802B84"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802B84" w14:paraId="0301F490" w14:textId="77777777" w:rsidTr="00EA7659">
        <w:tc>
          <w:tcPr>
            <w:tcW w:w="8075" w:type="dxa"/>
          </w:tcPr>
          <w:p w14:paraId="1DC28279" w14:textId="77777777" w:rsidR="00802B84" w:rsidRDefault="00D9514B"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Glomerulonefrită pauci-imună la biopsia renală</w:t>
            </w:r>
          </w:p>
        </w:tc>
        <w:tc>
          <w:tcPr>
            <w:tcW w:w="941" w:type="dxa"/>
          </w:tcPr>
          <w:p w14:paraId="4A142CA8" w14:textId="77777777" w:rsidR="00802B84" w:rsidRDefault="00D9514B"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D9514B" w14:paraId="5352C24E" w14:textId="77777777" w:rsidTr="00EA7659">
        <w:tc>
          <w:tcPr>
            <w:tcW w:w="8075" w:type="dxa"/>
          </w:tcPr>
          <w:p w14:paraId="7D0FEF62" w14:textId="77777777" w:rsidR="00D9514B" w:rsidRDefault="0050237D" w:rsidP="00EA7659">
            <w:pPr>
              <w:spacing w:after="20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Pozitivitate p-ANCA sau anti-MPO</w:t>
            </w:r>
          </w:p>
        </w:tc>
        <w:tc>
          <w:tcPr>
            <w:tcW w:w="941" w:type="dxa"/>
          </w:tcPr>
          <w:p w14:paraId="675F6FD9" w14:textId="77777777" w:rsidR="00D9514B" w:rsidRDefault="0050237D"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D9514B" w14:paraId="6E8AA0F9" w14:textId="77777777" w:rsidTr="00EA7659">
        <w:tc>
          <w:tcPr>
            <w:tcW w:w="8075" w:type="dxa"/>
          </w:tcPr>
          <w:p w14:paraId="28F50873" w14:textId="77777777" w:rsidR="00D9514B" w:rsidRPr="00FB2636" w:rsidRDefault="0013599D" w:rsidP="00EA7659">
            <w:pPr>
              <w:spacing w:after="200"/>
              <w:jc w:val="both"/>
              <w:rPr>
                <w:rFonts w:ascii="Times New Roman" w:eastAsia="Times New Roman" w:hAnsi="Times New Roman" w:cs="Times New Roman"/>
                <w:sz w:val="24"/>
                <w:szCs w:val="24"/>
                <w:lang w:val="en-US"/>
              </w:rPr>
            </w:pPr>
            <w:r>
              <w:t>Eozinofilie ≥ 1 × 10⁹/L</w:t>
            </w:r>
          </w:p>
        </w:tc>
        <w:tc>
          <w:tcPr>
            <w:tcW w:w="941" w:type="dxa"/>
          </w:tcPr>
          <w:p w14:paraId="5B51DCA6" w14:textId="77777777" w:rsidR="00D9514B" w:rsidRDefault="00FB2636" w:rsidP="00221C53">
            <w:pPr>
              <w:spacing w:after="20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r>
    </w:tbl>
    <w:p w14:paraId="574E5409" w14:textId="77777777" w:rsidR="00D0769B" w:rsidRDefault="00EA7659" w:rsidP="00DC122E">
      <w:pPr>
        <w:spacing w:after="200" w:line="360" w:lineRule="auto"/>
        <w:ind w:firstLine="720"/>
        <w:jc w:val="both"/>
        <w:rPr>
          <w:rFonts w:ascii="Times New Roman" w:eastAsia="Times New Roman" w:hAnsi="Times New Roman" w:cs="Times New Roman"/>
          <w:sz w:val="24"/>
          <w:szCs w:val="24"/>
          <w:lang w:val="ro-RO"/>
        </w:rPr>
      </w:pPr>
      <w:bookmarkStart w:id="8" w:name="_Hlk135852647"/>
      <w:r>
        <w:rPr>
          <w:rFonts w:ascii="Times New Roman" w:eastAsia="Times New Roman" w:hAnsi="Times New Roman" w:cs="Times New Roman"/>
          <w:sz w:val="24"/>
          <w:szCs w:val="24"/>
          <w:lang w:val="en-US"/>
        </w:rPr>
        <w:t>*Pentru clasificarea drept GPA este necesar un scor ≥5</w:t>
      </w:r>
    </w:p>
    <w:bookmarkEnd w:id="8"/>
    <w:p w14:paraId="72FAC68A" w14:textId="744E36BB" w:rsidR="004F5E7F" w:rsidRDefault="008C1AEA" w:rsidP="00DC122E">
      <w:pPr>
        <w:spacing w:after="200" w:line="360" w:lineRule="auto"/>
        <w:ind w:firstLine="720"/>
        <w:jc w:val="both"/>
        <w:rPr>
          <w:rFonts w:ascii="Times New Roman" w:hAnsi="Times New Roman" w:cs="Times New Roman"/>
          <w:i/>
          <w:iCs/>
          <w:color w:val="212121"/>
          <w:sz w:val="24"/>
          <w:szCs w:val="24"/>
          <w:shd w:val="clear" w:color="auto" w:fill="FFFFFF"/>
          <w:vertAlign w:val="superscript"/>
        </w:rPr>
      </w:pPr>
      <w:r w:rsidRPr="008C1AEA">
        <w:rPr>
          <w:rFonts w:ascii="Times New Roman" w:eastAsia="Times New Roman" w:hAnsi="Times New Roman" w:cs="Times New Roman"/>
          <w:b/>
          <w:bCs/>
          <w:sz w:val="24"/>
          <w:szCs w:val="24"/>
          <w:lang w:val="ro-RO"/>
        </w:rPr>
        <w:t>Tabelul 8.</w:t>
      </w:r>
      <w:r>
        <w:rPr>
          <w:rFonts w:ascii="Times New Roman" w:eastAsia="Times New Roman" w:hAnsi="Times New Roman" w:cs="Times New Roman"/>
          <w:sz w:val="24"/>
          <w:szCs w:val="24"/>
          <w:lang w:val="ro-RO"/>
        </w:rPr>
        <w:t xml:space="preserve"> </w:t>
      </w:r>
      <w:r w:rsidR="004F5E7F">
        <w:rPr>
          <w:rFonts w:ascii="Times New Roman" w:eastAsia="Times New Roman" w:hAnsi="Times New Roman" w:cs="Times New Roman"/>
          <w:sz w:val="24"/>
          <w:szCs w:val="24"/>
          <w:lang w:val="ro-RO"/>
        </w:rPr>
        <w:t>Criteriile de clasificare ACR/EULAR pentru poliangiita microscopică*, adaptate după</w:t>
      </w:r>
      <w:r w:rsidR="004B1FE6">
        <w:rPr>
          <w:rFonts w:ascii="Times New Roman" w:eastAsia="Times New Roman" w:hAnsi="Times New Roman" w:cs="Times New Roman"/>
          <w:sz w:val="24"/>
          <w:szCs w:val="24"/>
          <w:lang w:val="ro-RO"/>
        </w:rPr>
        <w:t xml:space="preserve"> </w:t>
      </w:r>
      <w:r w:rsidR="004B1FE6" w:rsidRPr="00E63C2E">
        <w:rPr>
          <w:rFonts w:ascii="Times New Roman" w:hAnsi="Times New Roman" w:cs="Times New Roman"/>
          <w:i/>
          <w:iCs/>
          <w:color w:val="212121"/>
          <w:sz w:val="24"/>
          <w:szCs w:val="24"/>
          <w:shd w:val="clear" w:color="auto" w:fill="FFFFFF"/>
        </w:rPr>
        <w:t>Suppiah R et al, Ann Rheum Dis</w:t>
      </w:r>
      <w:r w:rsidR="00E63C2E" w:rsidRPr="00E63C2E">
        <w:rPr>
          <w:rFonts w:ascii="Times New Roman" w:hAnsi="Times New Roman" w:cs="Times New Roman"/>
          <w:i/>
          <w:iCs/>
          <w:color w:val="212121"/>
          <w:sz w:val="24"/>
          <w:szCs w:val="24"/>
          <w:shd w:val="clear" w:color="auto" w:fill="FFFFFF"/>
        </w:rPr>
        <w:t xml:space="preserve"> 2022</w:t>
      </w:r>
    </w:p>
    <w:tbl>
      <w:tblPr>
        <w:tblStyle w:val="TableGrid"/>
        <w:tblW w:w="0" w:type="auto"/>
        <w:tblLook w:val="04A0" w:firstRow="1" w:lastRow="0" w:firstColumn="1" w:lastColumn="0" w:noHBand="0" w:noVBand="1"/>
      </w:tblPr>
      <w:tblGrid>
        <w:gridCol w:w="8075"/>
        <w:gridCol w:w="941"/>
      </w:tblGrid>
      <w:tr w:rsidR="00221C53" w:rsidRPr="007C7838" w14:paraId="579D38EA" w14:textId="77777777" w:rsidTr="00221C53">
        <w:tc>
          <w:tcPr>
            <w:tcW w:w="8075" w:type="dxa"/>
          </w:tcPr>
          <w:p w14:paraId="199FA435" w14:textId="77777777" w:rsidR="00221C53" w:rsidRPr="002A6EAB" w:rsidRDefault="00221C53" w:rsidP="000D16FD">
            <w:pPr>
              <w:spacing w:after="200"/>
              <w:jc w:val="both"/>
              <w:rPr>
                <w:rFonts w:ascii="Times New Roman" w:eastAsia="Times New Roman" w:hAnsi="Times New Roman" w:cs="Times New Roman"/>
                <w:b/>
                <w:bCs/>
                <w:sz w:val="24"/>
                <w:szCs w:val="24"/>
                <w:lang w:val="ro-RO"/>
              </w:rPr>
            </w:pPr>
            <w:r w:rsidRPr="002A6EAB">
              <w:rPr>
                <w:rFonts w:ascii="Times New Roman" w:eastAsia="Times New Roman" w:hAnsi="Times New Roman" w:cs="Times New Roman"/>
                <w:b/>
                <w:bCs/>
                <w:sz w:val="24"/>
                <w:szCs w:val="24"/>
                <w:lang w:val="ro-RO"/>
              </w:rPr>
              <w:t>CRITERII CLINICE</w:t>
            </w:r>
          </w:p>
        </w:tc>
        <w:tc>
          <w:tcPr>
            <w:tcW w:w="941" w:type="dxa"/>
          </w:tcPr>
          <w:p w14:paraId="1C6B3356" w14:textId="77777777" w:rsidR="00221C53" w:rsidRPr="007C7838" w:rsidRDefault="00221C53" w:rsidP="00DC122E">
            <w:pPr>
              <w:spacing w:after="200" w:line="360" w:lineRule="auto"/>
              <w:jc w:val="both"/>
              <w:rPr>
                <w:rFonts w:ascii="Times New Roman" w:eastAsia="Times New Roman" w:hAnsi="Times New Roman" w:cs="Times New Roman"/>
                <w:sz w:val="24"/>
                <w:szCs w:val="24"/>
                <w:lang w:val="ro-RO"/>
              </w:rPr>
            </w:pPr>
          </w:p>
        </w:tc>
      </w:tr>
      <w:tr w:rsidR="00221C53" w:rsidRPr="007C7838" w14:paraId="175449CD" w14:textId="77777777" w:rsidTr="00221C53">
        <w:tc>
          <w:tcPr>
            <w:tcW w:w="8075" w:type="dxa"/>
          </w:tcPr>
          <w:p w14:paraId="459D5E92" w14:textId="77777777" w:rsidR="00221C53" w:rsidRPr="007C7838" w:rsidRDefault="00A64C7F" w:rsidP="000D16FD">
            <w:pPr>
              <w:spacing w:after="200"/>
              <w:jc w:val="both"/>
              <w:rPr>
                <w:rFonts w:ascii="Times New Roman" w:eastAsia="Times New Roman" w:hAnsi="Times New Roman" w:cs="Times New Roman"/>
                <w:sz w:val="24"/>
                <w:szCs w:val="24"/>
                <w:lang w:val="ro-RO"/>
              </w:rPr>
            </w:pPr>
            <w:r w:rsidRPr="007C7838">
              <w:rPr>
                <w:rFonts w:ascii="Times New Roman" w:eastAsia="Times New Roman" w:hAnsi="Times New Roman" w:cs="Times New Roman"/>
                <w:sz w:val="24"/>
                <w:szCs w:val="24"/>
                <w:lang w:val="ro-RO"/>
              </w:rPr>
              <w:t>Afectarea nazală (epistaxis, cruste, ulcere, congestie, defecte septale sau perforație de sept nazal)</w:t>
            </w:r>
          </w:p>
        </w:tc>
        <w:tc>
          <w:tcPr>
            <w:tcW w:w="941" w:type="dxa"/>
          </w:tcPr>
          <w:p w14:paraId="4141E0A7" w14:textId="77777777" w:rsidR="00221C53" w:rsidRPr="007C7838" w:rsidRDefault="007C7838" w:rsidP="000D16FD">
            <w:pPr>
              <w:spacing w:after="200" w:line="360" w:lineRule="auto"/>
              <w:jc w:val="center"/>
              <w:rPr>
                <w:rFonts w:ascii="Times New Roman" w:eastAsia="Times New Roman" w:hAnsi="Times New Roman" w:cs="Times New Roman"/>
                <w:sz w:val="24"/>
                <w:szCs w:val="24"/>
                <w:lang w:val="ro-RO"/>
              </w:rPr>
            </w:pPr>
            <w:r w:rsidRPr="007C7838">
              <w:rPr>
                <w:rFonts w:ascii="Times New Roman" w:eastAsia="Times New Roman" w:hAnsi="Times New Roman" w:cs="Times New Roman"/>
                <w:sz w:val="24"/>
                <w:szCs w:val="24"/>
                <w:lang w:val="ro-RO"/>
              </w:rPr>
              <w:t>-3</w:t>
            </w:r>
          </w:p>
        </w:tc>
      </w:tr>
      <w:tr w:rsidR="00221C53" w:rsidRPr="007C7838" w14:paraId="7954E747" w14:textId="77777777" w:rsidTr="00221C53">
        <w:tc>
          <w:tcPr>
            <w:tcW w:w="8075" w:type="dxa"/>
          </w:tcPr>
          <w:p w14:paraId="179FFCDD" w14:textId="77777777" w:rsidR="00221C53" w:rsidRPr="002A6EAB" w:rsidRDefault="00673EB8" w:rsidP="000D16FD">
            <w:pPr>
              <w:spacing w:after="200"/>
              <w:jc w:val="both"/>
              <w:rPr>
                <w:rFonts w:ascii="Times New Roman" w:eastAsia="Times New Roman" w:hAnsi="Times New Roman" w:cs="Times New Roman"/>
                <w:b/>
                <w:bCs/>
                <w:sz w:val="24"/>
                <w:szCs w:val="24"/>
                <w:lang w:val="ro-RO"/>
              </w:rPr>
            </w:pPr>
            <w:r w:rsidRPr="002A6EAB">
              <w:rPr>
                <w:rFonts w:ascii="Times New Roman" w:eastAsia="Times New Roman" w:hAnsi="Times New Roman" w:cs="Times New Roman"/>
                <w:b/>
                <w:bCs/>
                <w:sz w:val="24"/>
                <w:szCs w:val="24"/>
                <w:lang w:val="en-US"/>
              </w:rPr>
              <w:t>CRITERII DE LABORATOR, IMAGISTICE sau HISTOLOGICE</w:t>
            </w:r>
          </w:p>
        </w:tc>
        <w:tc>
          <w:tcPr>
            <w:tcW w:w="941" w:type="dxa"/>
          </w:tcPr>
          <w:p w14:paraId="6FB47762" w14:textId="77777777" w:rsidR="00221C53" w:rsidRPr="007C7838" w:rsidRDefault="00221C53" w:rsidP="000D16FD">
            <w:pPr>
              <w:spacing w:after="200" w:line="360" w:lineRule="auto"/>
              <w:jc w:val="center"/>
              <w:rPr>
                <w:rFonts w:ascii="Times New Roman" w:eastAsia="Times New Roman" w:hAnsi="Times New Roman" w:cs="Times New Roman"/>
                <w:sz w:val="24"/>
                <w:szCs w:val="24"/>
                <w:lang w:val="ro-RO"/>
              </w:rPr>
            </w:pPr>
          </w:p>
        </w:tc>
      </w:tr>
      <w:tr w:rsidR="00221C53" w:rsidRPr="007C7838" w14:paraId="2110E7F7" w14:textId="77777777" w:rsidTr="00221C53">
        <w:tc>
          <w:tcPr>
            <w:tcW w:w="8075" w:type="dxa"/>
          </w:tcPr>
          <w:p w14:paraId="49399896" w14:textId="77777777" w:rsidR="00221C53" w:rsidRPr="002A6EAB" w:rsidRDefault="00B62B3C" w:rsidP="000D16FD">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Pozitivitate p-ANCA sau anti-MPO</w:t>
            </w:r>
          </w:p>
        </w:tc>
        <w:tc>
          <w:tcPr>
            <w:tcW w:w="941" w:type="dxa"/>
          </w:tcPr>
          <w:p w14:paraId="419F8DD4" w14:textId="77777777" w:rsidR="00221C53" w:rsidRPr="007C7838" w:rsidRDefault="002F28C8" w:rsidP="000D16FD">
            <w:pPr>
              <w:spacing w:after="200" w:line="36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+6</w:t>
            </w:r>
          </w:p>
        </w:tc>
      </w:tr>
      <w:tr w:rsidR="00221C53" w:rsidRPr="007C7838" w14:paraId="16BCE67A" w14:textId="77777777" w:rsidTr="00221C53">
        <w:tc>
          <w:tcPr>
            <w:tcW w:w="8075" w:type="dxa"/>
          </w:tcPr>
          <w:p w14:paraId="209FC26D" w14:textId="77777777" w:rsidR="00221C53" w:rsidRPr="002A6EAB" w:rsidRDefault="002F28C8" w:rsidP="000D16FD">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Fibroză sau afectare interstițială la imagistica pulmonară</w:t>
            </w:r>
          </w:p>
        </w:tc>
        <w:tc>
          <w:tcPr>
            <w:tcW w:w="941" w:type="dxa"/>
          </w:tcPr>
          <w:p w14:paraId="2BF2A551" w14:textId="77777777" w:rsidR="00221C53" w:rsidRPr="007C7838" w:rsidRDefault="00A77AC1" w:rsidP="000D16FD">
            <w:pPr>
              <w:spacing w:after="200" w:line="36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221C53" w:rsidRPr="007C7838" w14:paraId="1D0E6DD8" w14:textId="77777777" w:rsidTr="00221C53">
        <w:tc>
          <w:tcPr>
            <w:tcW w:w="8075" w:type="dxa"/>
          </w:tcPr>
          <w:p w14:paraId="67E285D3" w14:textId="77777777" w:rsidR="00221C53" w:rsidRPr="002A6EAB" w:rsidRDefault="00A77AC1" w:rsidP="000D16FD">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Glomerulonefrită pauci-imună la biopsia renală</w:t>
            </w:r>
          </w:p>
        </w:tc>
        <w:tc>
          <w:tcPr>
            <w:tcW w:w="941" w:type="dxa"/>
          </w:tcPr>
          <w:p w14:paraId="7834CFA2" w14:textId="77777777" w:rsidR="00221C53" w:rsidRPr="007C7838" w:rsidRDefault="00A77AC1" w:rsidP="000D16FD">
            <w:pPr>
              <w:spacing w:after="200" w:line="36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221C53" w:rsidRPr="007C7838" w14:paraId="5EC37CD2" w14:textId="77777777" w:rsidTr="00221C53">
        <w:tc>
          <w:tcPr>
            <w:tcW w:w="8075" w:type="dxa"/>
          </w:tcPr>
          <w:p w14:paraId="4D98B1D6" w14:textId="77777777" w:rsidR="00221C53" w:rsidRPr="002A6EAB" w:rsidRDefault="00BA5F56" w:rsidP="000D16FD">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Pozitivitate c-ANCA sau anti-PR3</w:t>
            </w:r>
          </w:p>
        </w:tc>
        <w:tc>
          <w:tcPr>
            <w:tcW w:w="941" w:type="dxa"/>
          </w:tcPr>
          <w:p w14:paraId="75EB4BAF" w14:textId="77777777" w:rsidR="00221C53" w:rsidRPr="007C7838" w:rsidRDefault="00BA5F56" w:rsidP="000D16FD">
            <w:pPr>
              <w:spacing w:after="200" w:line="36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221C53" w:rsidRPr="007C7838" w14:paraId="66BE6453" w14:textId="77777777" w:rsidTr="00221C53">
        <w:tc>
          <w:tcPr>
            <w:tcW w:w="8075" w:type="dxa"/>
          </w:tcPr>
          <w:p w14:paraId="0C98750F" w14:textId="77777777" w:rsidR="00221C53" w:rsidRPr="002A6EAB" w:rsidRDefault="000D16FD" w:rsidP="000D16FD">
            <w:pPr>
              <w:spacing w:after="200"/>
              <w:jc w:val="both"/>
              <w:rPr>
                <w:rFonts w:ascii="Times New Roman" w:eastAsia="Times New Roman" w:hAnsi="Times New Roman" w:cs="Times New Roman"/>
                <w:sz w:val="24"/>
                <w:szCs w:val="24"/>
                <w:lang w:val="ro-RO"/>
              </w:rPr>
            </w:pPr>
            <w:r w:rsidRPr="002A6EAB">
              <w:rPr>
                <w:rFonts w:ascii="Times New Roman" w:hAnsi="Times New Roman" w:cs="Times New Roman"/>
                <w:sz w:val="24"/>
                <w:szCs w:val="24"/>
              </w:rPr>
              <w:t>Eozinofilie ≥ 1 × 10⁹/L</w:t>
            </w:r>
          </w:p>
        </w:tc>
        <w:tc>
          <w:tcPr>
            <w:tcW w:w="941" w:type="dxa"/>
          </w:tcPr>
          <w:p w14:paraId="4FCF8216" w14:textId="77777777" w:rsidR="00221C53" w:rsidRPr="007C7838" w:rsidRDefault="000D16FD" w:rsidP="000D16FD">
            <w:pPr>
              <w:spacing w:after="200" w:line="36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-4</w:t>
            </w:r>
          </w:p>
        </w:tc>
      </w:tr>
    </w:tbl>
    <w:p w14:paraId="311BB84B" w14:textId="77777777" w:rsidR="00E63C2E" w:rsidRDefault="000D16FD" w:rsidP="00DC122E">
      <w:pPr>
        <w:spacing w:after="200" w:line="360" w:lineRule="auto"/>
        <w:ind w:firstLine="720"/>
        <w:jc w:val="both"/>
        <w:rPr>
          <w:rFonts w:ascii="Times New Roman" w:eastAsia="Times New Roman" w:hAnsi="Times New Roman" w:cs="Times New Roman"/>
          <w:sz w:val="24"/>
          <w:szCs w:val="24"/>
          <w:lang w:val="ro-RO"/>
        </w:rPr>
      </w:pPr>
      <w:bookmarkStart w:id="9" w:name="_Hlk135853279"/>
      <w:r>
        <w:rPr>
          <w:rFonts w:ascii="Times New Roman" w:eastAsia="Times New Roman" w:hAnsi="Times New Roman" w:cs="Times New Roman"/>
          <w:sz w:val="24"/>
          <w:szCs w:val="24"/>
          <w:lang w:val="ro-RO"/>
        </w:rPr>
        <w:lastRenderedPageBreak/>
        <w:t>*Pentru clasificarea drept PAM este necesar un scor ≥5</w:t>
      </w:r>
    </w:p>
    <w:bookmarkEnd w:id="9"/>
    <w:p w14:paraId="0F79DD8E" w14:textId="1EB69FCD" w:rsidR="000D16FD" w:rsidRDefault="002A6EAB" w:rsidP="00DC122E">
      <w:pPr>
        <w:spacing w:after="200" w:line="360" w:lineRule="auto"/>
        <w:ind w:firstLine="720"/>
        <w:jc w:val="both"/>
        <w:rPr>
          <w:rFonts w:ascii="Times New Roman" w:eastAsia="Times New Roman" w:hAnsi="Times New Roman" w:cs="Times New Roman"/>
          <w:sz w:val="24"/>
          <w:szCs w:val="24"/>
          <w:vertAlign w:val="superscript"/>
          <w:lang w:val="ro-RO"/>
        </w:rPr>
      </w:pPr>
      <w:r w:rsidRPr="002A6EAB">
        <w:rPr>
          <w:rFonts w:ascii="Times New Roman" w:eastAsia="Times New Roman" w:hAnsi="Times New Roman" w:cs="Times New Roman"/>
          <w:b/>
          <w:bCs/>
          <w:sz w:val="24"/>
          <w:szCs w:val="24"/>
          <w:lang w:val="ro-RO"/>
        </w:rPr>
        <w:t>Tabelul 9.</w:t>
      </w:r>
      <w:r>
        <w:rPr>
          <w:rFonts w:ascii="Times New Roman" w:eastAsia="Times New Roman" w:hAnsi="Times New Roman" w:cs="Times New Roman"/>
          <w:sz w:val="24"/>
          <w:szCs w:val="24"/>
          <w:lang w:val="ro-RO"/>
        </w:rPr>
        <w:t xml:space="preserve"> </w:t>
      </w:r>
      <w:r w:rsidR="00CF2913">
        <w:rPr>
          <w:rFonts w:ascii="Times New Roman" w:eastAsia="Times New Roman" w:hAnsi="Times New Roman" w:cs="Times New Roman"/>
          <w:sz w:val="24"/>
          <w:szCs w:val="24"/>
          <w:lang w:val="ro-RO"/>
        </w:rPr>
        <w:t>Criteriile de clasificare ACR/EULAR pentru granulomatoza eozinofilică cu poliangiită*, adaptate dup</w:t>
      </w:r>
      <w:r w:rsidR="007152ED">
        <w:rPr>
          <w:rFonts w:ascii="Times New Roman" w:eastAsia="Times New Roman" w:hAnsi="Times New Roman" w:cs="Times New Roman"/>
          <w:sz w:val="24"/>
          <w:szCs w:val="24"/>
          <w:lang w:val="ro-RO"/>
        </w:rPr>
        <w:t>ă</w:t>
      </w:r>
      <w:r w:rsidR="00E3587E">
        <w:rPr>
          <w:rFonts w:ascii="Times New Roman" w:eastAsia="Times New Roman" w:hAnsi="Times New Roman" w:cs="Times New Roman"/>
          <w:sz w:val="24"/>
          <w:szCs w:val="24"/>
          <w:lang w:val="ro-RO"/>
        </w:rPr>
        <w:t xml:space="preserve"> </w:t>
      </w:r>
      <w:r w:rsidR="00E3587E" w:rsidRPr="00E3587E">
        <w:rPr>
          <w:rFonts w:ascii="Times New Roman" w:eastAsia="Times New Roman" w:hAnsi="Times New Roman" w:cs="Times New Roman"/>
          <w:i/>
          <w:iCs/>
          <w:sz w:val="24"/>
          <w:szCs w:val="24"/>
          <w:lang w:val="ro-RO"/>
        </w:rPr>
        <w:t>Grayson PC et al, Ann Rheum Dis 2022</w:t>
      </w:r>
    </w:p>
    <w:tbl>
      <w:tblPr>
        <w:tblStyle w:val="TableGrid"/>
        <w:tblW w:w="0" w:type="auto"/>
        <w:tblLook w:val="04A0" w:firstRow="1" w:lastRow="0" w:firstColumn="1" w:lastColumn="0" w:noHBand="0" w:noVBand="1"/>
      </w:tblPr>
      <w:tblGrid>
        <w:gridCol w:w="8075"/>
        <w:gridCol w:w="941"/>
      </w:tblGrid>
      <w:tr w:rsidR="00572E65" w14:paraId="79B8C794" w14:textId="77777777" w:rsidTr="00572E65">
        <w:tc>
          <w:tcPr>
            <w:tcW w:w="8075" w:type="dxa"/>
          </w:tcPr>
          <w:p w14:paraId="51354EED" w14:textId="77777777" w:rsidR="00572E65" w:rsidRPr="002A6EAB" w:rsidRDefault="00572E65" w:rsidP="00422A96">
            <w:pPr>
              <w:spacing w:after="200"/>
              <w:jc w:val="both"/>
              <w:rPr>
                <w:rFonts w:ascii="Times New Roman" w:eastAsia="Times New Roman" w:hAnsi="Times New Roman" w:cs="Times New Roman"/>
                <w:b/>
                <w:bCs/>
                <w:sz w:val="24"/>
                <w:szCs w:val="24"/>
                <w:lang w:val="ro-RO"/>
              </w:rPr>
            </w:pPr>
            <w:r w:rsidRPr="002A6EAB">
              <w:rPr>
                <w:rFonts w:ascii="Times New Roman" w:eastAsia="Times New Roman" w:hAnsi="Times New Roman" w:cs="Times New Roman"/>
                <w:b/>
                <w:bCs/>
                <w:sz w:val="24"/>
                <w:szCs w:val="24"/>
                <w:lang w:val="ro-RO"/>
              </w:rPr>
              <w:t>CRITERII CLINICE</w:t>
            </w:r>
          </w:p>
        </w:tc>
        <w:tc>
          <w:tcPr>
            <w:tcW w:w="941" w:type="dxa"/>
          </w:tcPr>
          <w:p w14:paraId="0521B8BC" w14:textId="77777777" w:rsidR="00572E65" w:rsidRDefault="00572E65" w:rsidP="00422A96">
            <w:pPr>
              <w:spacing w:after="200"/>
              <w:jc w:val="both"/>
              <w:rPr>
                <w:rFonts w:ascii="Times New Roman" w:eastAsia="Times New Roman" w:hAnsi="Times New Roman" w:cs="Times New Roman"/>
                <w:sz w:val="24"/>
                <w:szCs w:val="24"/>
                <w:lang w:val="ro-RO"/>
              </w:rPr>
            </w:pPr>
          </w:p>
        </w:tc>
      </w:tr>
      <w:tr w:rsidR="00572E65" w14:paraId="7E767D1E" w14:textId="77777777" w:rsidTr="00572E65">
        <w:tc>
          <w:tcPr>
            <w:tcW w:w="8075" w:type="dxa"/>
          </w:tcPr>
          <w:p w14:paraId="40CD7D50" w14:textId="77777777" w:rsidR="00572E65" w:rsidRPr="002A6EAB" w:rsidRDefault="00DB6ED1"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Boală obstructivă de căi aeriene</w:t>
            </w:r>
          </w:p>
        </w:tc>
        <w:tc>
          <w:tcPr>
            <w:tcW w:w="941" w:type="dxa"/>
          </w:tcPr>
          <w:p w14:paraId="264D4C57" w14:textId="77777777" w:rsidR="00572E65" w:rsidRDefault="000B7204"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572E65" w14:paraId="5EC9F269" w14:textId="77777777" w:rsidTr="00572E65">
        <w:tc>
          <w:tcPr>
            <w:tcW w:w="8075" w:type="dxa"/>
          </w:tcPr>
          <w:p w14:paraId="22AAEE19" w14:textId="77777777" w:rsidR="00572E65" w:rsidRPr="002A6EAB" w:rsidRDefault="000B7204"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Polipoză nazală</w:t>
            </w:r>
          </w:p>
        </w:tc>
        <w:tc>
          <w:tcPr>
            <w:tcW w:w="941" w:type="dxa"/>
          </w:tcPr>
          <w:p w14:paraId="127CF4D9" w14:textId="77777777" w:rsidR="00572E65" w:rsidRDefault="000B7204"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572E65" w14:paraId="7A49ACF5" w14:textId="77777777" w:rsidTr="00572E65">
        <w:tc>
          <w:tcPr>
            <w:tcW w:w="8075" w:type="dxa"/>
          </w:tcPr>
          <w:p w14:paraId="04658E39" w14:textId="77777777" w:rsidR="00572E65" w:rsidRPr="002A6EAB" w:rsidRDefault="0055620F"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Mononevrită multiplex</w:t>
            </w:r>
          </w:p>
        </w:tc>
        <w:tc>
          <w:tcPr>
            <w:tcW w:w="941" w:type="dxa"/>
          </w:tcPr>
          <w:p w14:paraId="470DDFA6" w14:textId="77777777" w:rsidR="00572E65" w:rsidRDefault="0055620F"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r w:rsidR="00572E65" w14:paraId="2E83E958" w14:textId="77777777" w:rsidTr="00572E65">
        <w:tc>
          <w:tcPr>
            <w:tcW w:w="8075" w:type="dxa"/>
          </w:tcPr>
          <w:p w14:paraId="777D220B" w14:textId="77777777" w:rsidR="00572E65" w:rsidRPr="002A6EAB" w:rsidRDefault="0055620F" w:rsidP="00422A96">
            <w:pPr>
              <w:spacing w:after="200"/>
              <w:jc w:val="both"/>
              <w:rPr>
                <w:rFonts w:ascii="Times New Roman" w:eastAsia="Times New Roman" w:hAnsi="Times New Roman" w:cs="Times New Roman"/>
                <w:b/>
                <w:bCs/>
                <w:sz w:val="24"/>
                <w:szCs w:val="24"/>
                <w:lang w:val="ro-RO"/>
              </w:rPr>
            </w:pPr>
            <w:r w:rsidRPr="002A6EAB">
              <w:rPr>
                <w:rFonts w:ascii="Times New Roman" w:eastAsia="Times New Roman" w:hAnsi="Times New Roman" w:cs="Times New Roman"/>
                <w:b/>
                <w:bCs/>
                <w:sz w:val="24"/>
                <w:szCs w:val="24"/>
                <w:lang w:val="en-US"/>
              </w:rPr>
              <w:t>CRITERII DE LABORATOR, IMAGISTICE sau HISTOLOGICE</w:t>
            </w:r>
          </w:p>
        </w:tc>
        <w:tc>
          <w:tcPr>
            <w:tcW w:w="941" w:type="dxa"/>
          </w:tcPr>
          <w:p w14:paraId="169007B2" w14:textId="77777777" w:rsidR="00572E65" w:rsidRDefault="00572E65" w:rsidP="00422A96">
            <w:pPr>
              <w:spacing w:after="200"/>
              <w:jc w:val="center"/>
              <w:rPr>
                <w:rFonts w:ascii="Times New Roman" w:eastAsia="Times New Roman" w:hAnsi="Times New Roman" w:cs="Times New Roman"/>
                <w:sz w:val="24"/>
                <w:szCs w:val="24"/>
                <w:lang w:val="ro-RO"/>
              </w:rPr>
            </w:pPr>
          </w:p>
        </w:tc>
      </w:tr>
      <w:tr w:rsidR="00572E65" w14:paraId="7DF96E6F" w14:textId="77777777" w:rsidTr="00572E65">
        <w:tc>
          <w:tcPr>
            <w:tcW w:w="8075" w:type="dxa"/>
          </w:tcPr>
          <w:p w14:paraId="159B98DB" w14:textId="77777777" w:rsidR="00572E65" w:rsidRPr="002A6EAB" w:rsidRDefault="00684299" w:rsidP="00422A96">
            <w:pPr>
              <w:spacing w:after="200"/>
              <w:jc w:val="both"/>
              <w:rPr>
                <w:rFonts w:ascii="Times New Roman" w:eastAsia="Times New Roman" w:hAnsi="Times New Roman" w:cs="Times New Roman"/>
                <w:sz w:val="24"/>
                <w:szCs w:val="24"/>
                <w:lang w:val="ro-RO"/>
              </w:rPr>
            </w:pPr>
            <w:r w:rsidRPr="002A6EAB">
              <w:rPr>
                <w:rFonts w:ascii="Times New Roman" w:hAnsi="Times New Roman" w:cs="Times New Roman"/>
                <w:sz w:val="24"/>
                <w:szCs w:val="24"/>
              </w:rPr>
              <w:t>Eozinofilie ≥ 1 × 10⁹/L</w:t>
            </w:r>
          </w:p>
        </w:tc>
        <w:tc>
          <w:tcPr>
            <w:tcW w:w="941" w:type="dxa"/>
          </w:tcPr>
          <w:p w14:paraId="0D43D2C4" w14:textId="77777777" w:rsidR="00572E65" w:rsidRDefault="00BE6797"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+5</w:t>
            </w:r>
          </w:p>
        </w:tc>
      </w:tr>
      <w:tr w:rsidR="00572E65" w14:paraId="35871AED" w14:textId="77777777" w:rsidTr="00572E65">
        <w:tc>
          <w:tcPr>
            <w:tcW w:w="8075" w:type="dxa"/>
          </w:tcPr>
          <w:p w14:paraId="650E923B" w14:textId="77777777" w:rsidR="00572E65" w:rsidRPr="002A6EAB" w:rsidRDefault="00BE6797"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Biopsie cu inflamație eozinofilică predominant extravasculară</w:t>
            </w:r>
          </w:p>
        </w:tc>
        <w:tc>
          <w:tcPr>
            <w:tcW w:w="941" w:type="dxa"/>
          </w:tcPr>
          <w:p w14:paraId="7B0CCFA6" w14:textId="77777777" w:rsidR="00572E65" w:rsidRDefault="00BD3811"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p>
        </w:tc>
      </w:tr>
      <w:tr w:rsidR="00572E65" w14:paraId="384404FF" w14:textId="77777777" w:rsidTr="00572E65">
        <w:tc>
          <w:tcPr>
            <w:tcW w:w="8075" w:type="dxa"/>
          </w:tcPr>
          <w:p w14:paraId="1B20C73F" w14:textId="77777777" w:rsidR="00572E65" w:rsidRPr="002A6EAB" w:rsidRDefault="00BD3811"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Pozitivitate de c-ANCA sau anti-PR3</w:t>
            </w:r>
          </w:p>
        </w:tc>
        <w:tc>
          <w:tcPr>
            <w:tcW w:w="941" w:type="dxa"/>
          </w:tcPr>
          <w:p w14:paraId="53888ADC" w14:textId="77777777" w:rsidR="00572E65" w:rsidRDefault="009404F7"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w:t>
            </w:r>
          </w:p>
        </w:tc>
      </w:tr>
      <w:tr w:rsidR="009404F7" w14:paraId="0A3A650C" w14:textId="77777777" w:rsidTr="00572E65">
        <w:tc>
          <w:tcPr>
            <w:tcW w:w="8075" w:type="dxa"/>
          </w:tcPr>
          <w:p w14:paraId="248073C5" w14:textId="77777777" w:rsidR="009404F7" w:rsidRPr="002A6EAB" w:rsidRDefault="009404F7" w:rsidP="00422A96">
            <w:pPr>
              <w:spacing w:after="20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sz w:val="24"/>
                <w:szCs w:val="24"/>
                <w:lang w:val="ro-RO"/>
              </w:rPr>
              <w:t>Hematurie</w:t>
            </w:r>
          </w:p>
        </w:tc>
        <w:tc>
          <w:tcPr>
            <w:tcW w:w="941" w:type="dxa"/>
          </w:tcPr>
          <w:p w14:paraId="6EE60AD4" w14:textId="77777777" w:rsidR="009404F7" w:rsidRDefault="00422A96" w:rsidP="00422A96">
            <w:pPr>
              <w:spacing w:after="200"/>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w:t>
            </w:r>
          </w:p>
        </w:tc>
      </w:tr>
    </w:tbl>
    <w:p w14:paraId="7D4344EA" w14:textId="77777777" w:rsidR="00496D48" w:rsidRDefault="00422A96" w:rsidP="00445E3F">
      <w:pPr>
        <w:spacing w:after="200" w:line="36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*Pentru clasificarea drept GEPA este necesar un scor ≥6</w:t>
      </w:r>
    </w:p>
    <w:p w14:paraId="18B7B0C2" w14:textId="5F1D2E33" w:rsidR="00FD3438" w:rsidRDefault="00F81C34" w:rsidP="004529AB">
      <w:pPr>
        <w:spacing w:after="200" w:line="360" w:lineRule="auto"/>
        <w:ind w:firstLine="720"/>
        <w:jc w:val="both"/>
        <w:rPr>
          <w:rFonts w:ascii="Times New Roman" w:eastAsia="Times New Roman" w:hAnsi="Times New Roman" w:cs="Times New Roman"/>
          <w:sz w:val="24"/>
          <w:szCs w:val="24"/>
          <w:lang w:val="ro-RO"/>
        </w:rPr>
      </w:pPr>
      <w:r w:rsidRPr="00445E3F">
        <w:rPr>
          <w:rFonts w:ascii="Times New Roman" w:eastAsia="Times New Roman" w:hAnsi="Times New Roman" w:cs="Times New Roman"/>
          <w:b/>
          <w:bCs/>
          <w:sz w:val="24"/>
          <w:szCs w:val="24"/>
          <w:lang w:val="ro-RO"/>
        </w:rPr>
        <w:t>Tratamentul</w:t>
      </w:r>
      <w:r w:rsidR="008B7742" w:rsidRPr="00445E3F">
        <w:rPr>
          <w:rFonts w:ascii="Times New Roman" w:eastAsia="Times New Roman" w:hAnsi="Times New Roman" w:cs="Times New Roman"/>
          <w:sz w:val="24"/>
          <w:szCs w:val="24"/>
          <w:lang w:val="ro-RO"/>
        </w:rPr>
        <w:t xml:space="preserve"> cuprinde obligatoriu </w:t>
      </w:r>
      <w:r w:rsidR="008B7742">
        <w:rPr>
          <w:rFonts w:ascii="Times New Roman" w:eastAsia="Times New Roman" w:hAnsi="Times New Roman" w:cs="Times New Roman"/>
          <w:sz w:val="24"/>
          <w:szCs w:val="24"/>
          <w:lang w:val="ro-RO"/>
        </w:rPr>
        <w:t xml:space="preserve">două faze, inducția și menținerea remisiunii. </w:t>
      </w:r>
      <w:r w:rsidR="00CD45A4">
        <w:rPr>
          <w:rFonts w:ascii="Times New Roman" w:eastAsia="Times New Roman" w:hAnsi="Times New Roman" w:cs="Times New Roman"/>
          <w:sz w:val="24"/>
          <w:szCs w:val="24"/>
          <w:lang w:val="ro-RO"/>
        </w:rPr>
        <w:t>În formele severe, amenințătoare de viață sau cu potențial de lezare de organ</w:t>
      </w:r>
      <w:r w:rsidR="004F0D95">
        <w:rPr>
          <w:rFonts w:ascii="Times New Roman" w:eastAsia="Times New Roman" w:hAnsi="Times New Roman" w:cs="Times New Roman"/>
          <w:sz w:val="24"/>
          <w:szCs w:val="24"/>
          <w:lang w:val="ro-RO"/>
        </w:rPr>
        <w:t xml:space="preserve"> (glomerulonefrită, hemoragie alveolară</w:t>
      </w:r>
      <w:r w:rsidR="00C646D3">
        <w:rPr>
          <w:rFonts w:ascii="Times New Roman" w:eastAsia="Times New Roman" w:hAnsi="Times New Roman" w:cs="Times New Roman"/>
          <w:sz w:val="24"/>
          <w:szCs w:val="24"/>
          <w:lang w:val="ro-RO"/>
        </w:rPr>
        <w:t xml:space="preserve">, ischemie mezenterică, afectare </w:t>
      </w:r>
      <w:r w:rsidR="00474EE3">
        <w:rPr>
          <w:rFonts w:ascii="Times New Roman" w:eastAsia="Times New Roman" w:hAnsi="Times New Roman" w:cs="Times New Roman"/>
          <w:sz w:val="24"/>
          <w:szCs w:val="24"/>
          <w:lang w:val="ro-RO"/>
        </w:rPr>
        <w:t>retro-orbitală, mononevrită multiplex etc</w:t>
      </w:r>
      <w:r w:rsidR="004B4F41">
        <w:rPr>
          <w:rFonts w:ascii="Times New Roman" w:eastAsia="Times New Roman" w:hAnsi="Times New Roman" w:cs="Times New Roman"/>
          <w:sz w:val="24"/>
          <w:szCs w:val="24"/>
          <w:lang w:val="ro-RO"/>
        </w:rPr>
        <w:t>) se folose</w:t>
      </w:r>
      <w:r w:rsidR="007F4F48">
        <w:rPr>
          <w:rFonts w:ascii="Times New Roman" w:eastAsia="Times New Roman" w:hAnsi="Times New Roman" w:cs="Times New Roman"/>
          <w:sz w:val="24"/>
          <w:szCs w:val="24"/>
          <w:lang w:val="ro-RO"/>
        </w:rPr>
        <w:t>ște de la început tratament agresiv ce combină corticoterapia</w:t>
      </w:r>
      <w:r w:rsidR="00445E3F">
        <w:rPr>
          <w:rFonts w:ascii="Times New Roman" w:eastAsia="Times New Roman" w:hAnsi="Times New Roman" w:cs="Times New Roman"/>
          <w:sz w:val="24"/>
          <w:szCs w:val="24"/>
          <w:lang w:val="ro-RO"/>
        </w:rPr>
        <w:t xml:space="preserve"> în doză mare</w:t>
      </w:r>
      <w:r w:rsidR="007F4F48">
        <w:rPr>
          <w:rFonts w:ascii="Times New Roman" w:eastAsia="Times New Roman" w:hAnsi="Times New Roman" w:cs="Times New Roman"/>
          <w:sz w:val="24"/>
          <w:szCs w:val="24"/>
          <w:lang w:val="ro-RO"/>
        </w:rPr>
        <w:t xml:space="preserve"> cu un imunomodulator de tipul ciclofosfamidei sau rituximabului.</w:t>
      </w:r>
      <w:r w:rsidR="00AB37C6">
        <w:rPr>
          <w:rFonts w:ascii="Times New Roman" w:eastAsia="Times New Roman" w:hAnsi="Times New Roman" w:cs="Times New Roman"/>
          <w:sz w:val="24"/>
          <w:szCs w:val="24"/>
          <w:lang w:val="ro-RO"/>
        </w:rPr>
        <w:t xml:space="preserve"> </w:t>
      </w:r>
      <w:r w:rsidR="0098228C">
        <w:rPr>
          <w:rFonts w:ascii="Times New Roman" w:eastAsia="Times New Roman" w:hAnsi="Times New Roman" w:cs="Times New Roman"/>
          <w:sz w:val="24"/>
          <w:szCs w:val="24"/>
          <w:lang w:val="ro-RO"/>
        </w:rPr>
        <w:t xml:space="preserve">Rituximabul este de preferat în cazul celor cu recădere. </w:t>
      </w:r>
      <w:r w:rsidR="00CA2C01">
        <w:rPr>
          <w:rFonts w:ascii="Times New Roman" w:eastAsia="Times New Roman" w:hAnsi="Times New Roman" w:cs="Times New Roman"/>
          <w:sz w:val="24"/>
          <w:szCs w:val="24"/>
          <w:lang w:val="ro-RO"/>
        </w:rPr>
        <w:t>În formele non-</w:t>
      </w:r>
      <w:r w:rsidR="002B3E96">
        <w:rPr>
          <w:rFonts w:ascii="Times New Roman" w:eastAsia="Times New Roman" w:hAnsi="Times New Roman" w:cs="Times New Roman"/>
          <w:sz w:val="24"/>
          <w:szCs w:val="24"/>
          <w:lang w:val="ro-RO"/>
        </w:rPr>
        <w:t>amenințătoare de viață sau de organ</w:t>
      </w:r>
      <w:r w:rsidR="002A6EAB">
        <w:rPr>
          <w:rFonts w:ascii="Times New Roman" w:eastAsia="Times New Roman" w:hAnsi="Times New Roman" w:cs="Times New Roman"/>
          <w:sz w:val="24"/>
          <w:szCs w:val="24"/>
          <w:lang w:val="ro-RO"/>
        </w:rPr>
        <w:t>,</w:t>
      </w:r>
      <w:r w:rsidR="002B3E96">
        <w:rPr>
          <w:rFonts w:ascii="Times New Roman" w:eastAsia="Times New Roman" w:hAnsi="Times New Roman" w:cs="Times New Roman"/>
          <w:sz w:val="24"/>
          <w:szCs w:val="24"/>
          <w:lang w:val="ro-RO"/>
        </w:rPr>
        <w:t xml:space="preserve"> se poate folosi rituximab, sau ca alternative, metotrexat sau micofenolat mofet</w:t>
      </w:r>
      <w:r w:rsidR="00A36EB8">
        <w:rPr>
          <w:rFonts w:ascii="Times New Roman" w:eastAsia="Times New Roman" w:hAnsi="Times New Roman" w:cs="Times New Roman"/>
          <w:sz w:val="24"/>
          <w:szCs w:val="24"/>
          <w:lang w:val="ro-RO"/>
        </w:rPr>
        <w:t>il.</w:t>
      </w:r>
    </w:p>
    <w:p w14:paraId="5A04BDBE" w14:textId="11C370FF" w:rsidR="00F36AEA" w:rsidRPr="008D6F38" w:rsidRDefault="00445E3F" w:rsidP="00F36AEA">
      <w:pPr>
        <w:spacing w:after="200" w:line="360" w:lineRule="auto"/>
        <w:ind w:firstLine="720"/>
        <w:jc w:val="both"/>
        <w:rPr>
          <w:rFonts w:ascii="Times New Roman" w:eastAsia="Times New Roman" w:hAnsi="Times New Roman" w:cs="Times New Roman"/>
          <w:sz w:val="24"/>
          <w:szCs w:val="24"/>
          <w:lang w:val="ro-RO"/>
        </w:rPr>
      </w:pPr>
      <w:r w:rsidRPr="008D6F38">
        <w:rPr>
          <w:rFonts w:ascii="Times New Roman" w:hAnsi="Times New Roman" w:cs="Times New Roman"/>
          <w:sz w:val="24"/>
          <w:szCs w:val="24"/>
        </w:rPr>
        <w:t>Modul de administrare al corticoterapiei a suferit recent mici modificări în condițiile în care date recente (cohorta de pacienți din studiul PEXIVAS) au arătat că dozele foarte mari nu sunt superioare ca eficiență dar cresc riscul de efecte adverse. Din acest motiv se preferă inițierea cu 50–75 mg/zi cu scădere progresivă după 3–4 săptămâni astfel încât la 3 luni să se ajungă la 7,5–15 mg/zi și la 6 luni la 5 mg/zi. Se poate recurge și la puls-terapie cu metilprednisolon (7,5-15 mg/kgc i.v. repetat la 24 de ore pentru 1–3 zile). În general, tratamentul cu cortizon se menține 6–18 luni</w:t>
      </w:r>
      <w:r w:rsidR="002A6EAB">
        <w:rPr>
          <w:rFonts w:ascii="Times New Roman" w:hAnsi="Times New Roman" w:cs="Times New Roman"/>
          <w:sz w:val="24"/>
          <w:szCs w:val="24"/>
        </w:rPr>
        <w:t xml:space="preserve"> (Tabelul 10)</w:t>
      </w:r>
      <w:r w:rsidRPr="008D6F38">
        <w:rPr>
          <w:rFonts w:ascii="Times New Roman" w:hAnsi="Times New Roman" w:cs="Times New Roman"/>
          <w:sz w:val="24"/>
          <w:szCs w:val="24"/>
        </w:rPr>
        <w:t xml:space="preserve">. </w:t>
      </w:r>
    </w:p>
    <w:p w14:paraId="02F015DE" w14:textId="0EB61DF0" w:rsidR="00F73719" w:rsidRDefault="002A6EAB" w:rsidP="00F36AEA">
      <w:pPr>
        <w:spacing w:after="200" w:line="360" w:lineRule="auto"/>
        <w:ind w:firstLine="720"/>
        <w:jc w:val="both"/>
        <w:rPr>
          <w:rFonts w:ascii="Times New Roman" w:eastAsia="Times New Roman" w:hAnsi="Times New Roman" w:cs="Times New Roman"/>
          <w:sz w:val="24"/>
          <w:szCs w:val="24"/>
          <w:lang w:val="ro-RO"/>
        </w:rPr>
      </w:pPr>
      <w:r w:rsidRPr="002A6EAB">
        <w:rPr>
          <w:rFonts w:ascii="Times New Roman" w:eastAsia="Times New Roman" w:hAnsi="Times New Roman" w:cs="Times New Roman"/>
          <w:b/>
          <w:bCs/>
          <w:sz w:val="24"/>
          <w:szCs w:val="24"/>
          <w:lang w:val="ro-RO"/>
        </w:rPr>
        <w:t>Tabelul 10.</w:t>
      </w:r>
      <w:r>
        <w:rPr>
          <w:rFonts w:ascii="Times New Roman" w:eastAsia="Times New Roman" w:hAnsi="Times New Roman" w:cs="Times New Roman"/>
          <w:sz w:val="24"/>
          <w:szCs w:val="24"/>
          <w:lang w:val="ro-RO"/>
        </w:rPr>
        <w:t xml:space="preserve"> </w:t>
      </w:r>
      <w:r w:rsidR="00F73719">
        <w:rPr>
          <w:rFonts w:ascii="Times New Roman" w:eastAsia="Times New Roman" w:hAnsi="Times New Roman" w:cs="Times New Roman"/>
          <w:sz w:val="24"/>
          <w:szCs w:val="24"/>
          <w:lang w:val="ro-RO"/>
        </w:rPr>
        <w:t>Schemă de reducere a dozei de cortizon - adaptat după schema redusă de glucocorticoizi utilizată în PEXIVAS și preluată în recomandările EULAR pentru managementul vasculitelor ANCA asociate</w:t>
      </w:r>
    </w:p>
    <w:tbl>
      <w:tblPr>
        <w:tblStyle w:val="TableGrid3"/>
        <w:tblW w:w="0" w:type="auto"/>
        <w:jc w:val="center"/>
        <w:tblLook w:val="04A0" w:firstRow="1" w:lastRow="0" w:firstColumn="1" w:lastColumn="0" w:noHBand="0" w:noVBand="1"/>
      </w:tblPr>
      <w:tblGrid>
        <w:gridCol w:w="3133"/>
        <w:gridCol w:w="1961"/>
        <w:gridCol w:w="1961"/>
        <w:gridCol w:w="1961"/>
      </w:tblGrid>
      <w:tr w:rsidR="00F73719" w:rsidRPr="00F73719" w14:paraId="00C21993" w14:textId="77777777" w:rsidTr="00F73719">
        <w:trPr>
          <w:tblHeader/>
          <w:jc w:val="center"/>
        </w:trPr>
        <w:tc>
          <w:tcPr>
            <w:tcW w:w="3133" w:type="dxa"/>
            <w:shd w:val="clear" w:color="auto" w:fill="D9EAF7"/>
            <w:vAlign w:val="center"/>
          </w:tcPr>
          <w:p w14:paraId="4F839215"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b/>
                <w:sz w:val="24"/>
                <w:szCs w:val="24"/>
              </w:rPr>
              <w:lastRenderedPageBreak/>
              <w:t>Perioada de tratament</w:t>
            </w:r>
          </w:p>
        </w:tc>
        <w:tc>
          <w:tcPr>
            <w:tcW w:w="1961" w:type="dxa"/>
            <w:shd w:val="clear" w:color="auto" w:fill="D9EAF7"/>
            <w:vAlign w:val="center"/>
          </w:tcPr>
          <w:p w14:paraId="0587FE76"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b/>
                <w:sz w:val="24"/>
                <w:szCs w:val="24"/>
              </w:rPr>
              <w:t>&lt; 50 kg</w:t>
            </w:r>
          </w:p>
        </w:tc>
        <w:tc>
          <w:tcPr>
            <w:tcW w:w="1961" w:type="dxa"/>
            <w:shd w:val="clear" w:color="auto" w:fill="D9EAF7"/>
            <w:vAlign w:val="center"/>
          </w:tcPr>
          <w:p w14:paraId="4D399C47"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b/>
                <w:sz w:val="24"/>
                <w:szCs w:val="24"/>
              </w:rPr>
              <w:t>50–75 kg</w:t>
            </w:r>
          </w:p>
        </w:tc>
        <w:tc>
          <w:tcPr>
            <w:tcW w:w="1961" w:type="dxa"/>
            <w:shd w:val="clear" w:color="auto" w:fill="D9EAF7"/>
            <w:vAlign w:val="center"/>
          </w:tcPr>
          <w:p w14:paraId="362D3E77"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b/>
                <w:sz w:val="24"/>
                <w:szCs w:val="24"/>
              </w:rPr>
              <w:t>&gt; 75 kg</w:t>
            </w:r>
          </w:p>
        </w:tc>
      </w:tr>
      <w:tr w:rsidR="00F73719" w:rsidRPr="00F73719" w14:paraId="28FAE243" w14:textId="77777777" w:rsidTr="00F73719">
        <w:trPr>
          <w:jc w:val="center"/>
        </w:trPr>
        <w:tc>
          <w:tcPr>
            <w:tcW w:w="3133" w:type="dxa"/>
            <w:vAlign w:val="center"/>
          </w:tcPr>
          <w:p w14:paraId="315BD4AD"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Puls i.v. metilprednisolon</w:t>
            </w:r>
          </w:p>
        </w:tc>
        <w:tc>
          <w:tcPr>
            <w:tcW w:w="1961" w:type="dxa"/>
            <w:vAlign w:val="center"/>
          </w:tcPr>
          <w:p w14:paraId="2AFAB423"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1–3 g total</w:t>
            </w:r>
          </w:p>
        </w:tc>
        <w:tc>
          <w:tcPr>
            <w:tcW w:w="1961" w:type="dxa"/>
            <w:vAlign w:val="center"/>
          </w:tcPr>
          <w:p w14:paraId="6EDD660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1–3 g total</w:t>
            </w:r>
          </w:p>
        </w:tc>
        <w:tc>
          <w:tcPr>
            <w:tcW w:w="1961" w:type="dxa"/>
            <w:vAlign w:val="center"/>
          </w:tcPr>
          <w:p w14:paraId="3EA05C1F"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1–3 g total</w:t>
            </w:r>
          </w:p>
        </w:tc>
      </w:tr>
      <w:tr w:rsidR="00F73719" w:rsidRPr="00F73719" w14:paraId="18D7DD1E" w14:textId="77777777" w:rsidTr="00F73719">
        <w:trPr>
          <w:jc w:val="center"/>
        </w:trPr>
        <w:tc>
          <w:tcPr>
            <w:tcW w:w="3133" w:type="dxa"/>
            <w:vAlign w:val="center"/>
          </w:tcPr>
          <w:p w14:paraId="3BC6E561"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Săptămâna 1</w:t>
            </w:r>
          </w:p>
        </w:tc>
        <w:tc>
          <w:tcPr>
            <w:tcW w:w="1961" w:type="dxa"/>
            <w:vAlign w:val="center"/>
          </w:tcPr>
          <w:p w14:paraId="585A8730"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50</w:t>
            </w:r>
          </w:p>
        </w:tc>
        <w:tc>
          <w:tcPr>
            <w:tcW w:w="1961" w:type="dxa"/>
            <w:vAlign w:val="center"/>
          </w:tcPr>
          <w:p w14:paraId="24012B2F"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60</w:t>
            </w:r>
          </w:p>
        </w:tc>
        <w:tc>
          <w:tcPr>
            <w:tcW w:w="1961" w:type="dxa"/>
            <w:vAlign w:val="center"/>
          </w:tcPr>
          <w:p w14:paraId="5BE26F62"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75</w:t>
            </w:r>
          </w:p>
        </w:tc>
      </w:tr>
      <w:tr w:rsidR="00F73719" w:rsidRPr="00F73719" w14:paraId="747C5FC6" w14:textId="77777777" w:rsidTr="00F73719">
        <w:trPr>
          <w:jc w:val="center"/>
        </w:trPr>
        <w:tc>
          <w:tcPr>
            <w:tcW w:w="3133" w:type="dxa"/>
            <w:vAlign w:val="center"/>
          </w:tcPr>
          <w:p w14:paraId="2C4A8B8F"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Săptămâna 2</w:t>
            </w:r>
          </w:p>
        </w:tc>
        <w:tc>
          <w:tcPr>
            <w:tcW w:w="1961" w:type="dxa"/>
            <w:vAlign w:val="center"/>
          </w:tcPr>
          <w:p w14:paraId="42D8C79D"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25</w:t>
            </w:r>
          </w:p>
        </w:tc>
        <w:tc>
          <w:tcPr>
            <w:tcW w:w="1961" w:type="dxa"/>
            <w:vAlign w:val="center"/>
          </w:tcPr>
          <w:p w14:paraId="116EA3A3"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30</w:t>
            </w:r>
          </w:p>
        </w:tc>
        <w:tc>
          <w:tcPr>
            <w:tcW w:w="1961" w:type="dxa"/>
            <w:vAlign w:val="center"/>
          </w:tcPr>
          <w:p w14:paraId="5C885045"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40</w:t>
            </w:r>
          </w:p>
        </w:tc>
      </w:tr>
      <w:tr w:rsidR="00F73719" w:rsidRPr="00F73719" w14:paraId="04F07964" w14:textId="77777777" w:rsidTr="00F73719">
        <w:trPr>
          <w:jc w:val="center"/>
        </w:trPr>
        <w:tc>
          <w:tcPr>
            <w:tcW w:w="3133" w:type="dxa"/>
            <w:vAlign w:val="center"/>
          </w:tcPr>
          <w:p w14:paraId="627320AB"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3–4</w:t>
            </w:r>
          </w:p>
        </w:tc>
        <w:tc>
          <w:tcPr>
            <w:tcW w:w="1961" w:type="dxa"/>
            <w:vAlign w:val="center"/>
          </w:tcPr>
          <w:p w14:paraId="75B93621"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20</w:t>
            </w:r>
          </w:p>
        </w:tc>
        <w:tc>
          <w:tcPr>
            <w:tcW w:w="1961" w:type="dxa"/>
            <w:vAlign w:val="center"/>
          </w:tcPr>
          <w:p w14:paraId="5D5E936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25</w:t>
            </w:r>
          </w:p>
        </w:tc>
        <w:tc>
          <w:tcPr>
            <w:tcW w:w="1961" w:type="dxa"/>
            <w:vAlign w:val="center"/>
          </w:tcPr>
          <w:p w14:paraId="104A1411"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30</w:t>
            </w:r>
          </w:p>
        </w:tc>
      </w:tr>
      <w:tr w:rsidR="00F73719" w:rsidRPr="00F73719" w14:paraId="347CAC6E" w14:textId="77777777" w:rsidTr="00F73719">
        <w:trPr>
          <w:jc w:val="center"/>
        </w:trPr>
        <w:tc>
          <w:tcPr>
            <w:tcW w:w="3133" w:type="dxa"/>
            <w:vAlign w:val="center"/>
          </w:tcPr>
          <w:p w14:paraId="186DA10F"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5–6</w:t>
            </w:r>
          </w:p>
        </w:tc>
        <w:tc>
          <w:tcPr>
            <w:tcW w:w="1961" w:type="dxa"/>
            <w:vAlign w:val="center"/>
          </w:tcPr>
          <w:p w14:paraId="40C88AF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15</w:t>
            </w:r>
          </w:p>
        </w:tc>
        <w:tc>
          <w:tcPr>
            <w:tcW w:w="1961" w:type="dxa"/>
            <w:vAlign w:val="center"/>
          </w:tcPr>
          <w:p w14:paraId="68885A15"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20</w:t>
            </w:r>
          </w:p>
        </w:tc>
        <w:tc>
          <w:tcPr>
            <w:tcW w:w="1961" w:type="dxa"/>
            <w:vAlign w:val="center"/>
          </w:tcPr>
          <w:p w14:paraId="51F4B97C"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25</w:t>
            </w:r>
          </w:p>
        </w:tc>
      </w:tr>
      <w:tr w:rsidR="00F73719" w:rsidRPr="00F73719" w14:paraId="41EE2D91" w14:textId="77777777" w:rsidTr="00F73719">
        <w:trPr>
          <w:jc w:val="center"/>
        </w:trPr>
        <w:tc>
          <w:tcPr>
            <w:tcW w:w="3133" w:type="dxa"/>
            <w:vAlign w:val="center"/>
          </w:tcPr>
          <w:p w14:paraId="2DEFBE65"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7–8</w:t>
            </w:r>
          </w:p>
        </w:tc>
        <w:tc>
          <w:tcPr>
            <w:tcW w:w="1961" w:type="dxa"/>
            <w:vAlign w:val="center"/>
          </w:tcPr>
          <w:p w14:paraId="6167F8A3"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12,5</w:t>
            </w:r>
          </w:p>
        </w:tc>
        <w:tc>
          <w:tcPr>
            <w:tcW w:w="1961" w:type="dxa"/>
            <w:vAlign w:val="center"/>
          </w:tcPr>
          <w:p w14:paraId="6CBA7E26"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15</w:t>
            </w:r>
          </w:p>
        </w:tc>
        <w:tc>
          <w:tcPr>
            <w:tcW w:w="1961" w:type="dxa"/>
            <w:vAlign w:val="center"/>
          </w:tcPr>
          <w:p w14:paraId="49865816"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20</w:t>
            </w:r>
          </w:p>
        </w:tc>
      </w:tr>
      <w:tr w:rsidR="00F73719" w:rsidRPr="00F73719" w14:paraId="045EE1A1" w14:textId="77777777" w:rsidTr="00F73719">
        <w:trPr>
          <w:jc w:val="center"/>
        </w:trPr>
        <w:tc>
          <w:tcPr>
            <w:tcW w:w="3133" w:type="dxa"/>
            <w:vAlign w:val="center"/>
          </w:tcPr>
          <w:p w14:paraId="6956EAE4"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9–10</w:t>
            </w:r>
          </w:p>
        </w:tc>
        <w:tc>
          <w:tcPr>
            <w:tcW w:w="1961" w:type="dxa"/>
            <w:vAlign w:val="center"/>
          </w:tcPr>
          <w:p w14:paraId="467E1727"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10</w:t>
            </w:r>
          </w:p>
        </w:tc>
        <w:tc>
          <w:tcPr>
            <w:tcW w:w="1961" w:type="dxa"/>
            <w:vAlign w:val="center"/>
          </w:tcPr>
          <w:p w14:paraId="6E4B0357"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12,5</w:t>
            </w:r>
          </w:p>
        </w:tc>
        <w:tc>
          <w:tcPr>
            <w:tcW w:w="1961" w:type="dxa"/>
            <w:vAlign w:val="center"/>
          </w:tcPr>
          <w:p w14:paraId="4ECC0815"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15</w:t>
            </w:r>
          </w:p>
        </w:tc>
      </w:tr>
      <w:tr w:rsidR="00F73719" w:rsidRPr="00F73719" w14:paraId="579BFC78" w14:textId="77777777" w:rsidTr="00F73719">
        <w:trPr>
          <w:jc w:val="center"/>
        </w:trPr>
        <w:tc>
          <w:tcPr>
            <w:tcW w:w="3133" w:type="dxa"/>
            <w:vAlign w:val="center"/>
          </w:tcPr>
          <w:p w14:paraId="4702825A"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11–12</w:t>
            </w:r>
          </w:p>
        </w:tc>
        <w:tc>
          <w:tcPr>
            <w:tcW w:w="1961" w:type="dxa"/>
            <w:vAlign w:val="center"/>
          </w:tcPr>
          <w:p w14:paraId="464F9E9F"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7,5</w:t>
            </w:r>
          </w:p>
        </w:tc>
        <w:tc>
          <w:tcPr>
            <w:tcW w:w="1961" w:type="dxa"/>
            <w:vAlign w:val="center"/>
          </w:tcPr>
          <w:p w14:paraId="77851120"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10</w:t>
            </w:r>
          </w:p>
        </w:tc>
        <w:tc>
          <w:tcPr>
            <w:tcW w:w="1961" w:type="dxa"/>
            <w:vAlign w:val="center"/>
          </w:tcPr>
          <w:p w14:paraId="46EEF0E3"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12,5</w:t>
            </w:r>
          </w:p>
        </w:tc>
      </w:tr>
      <w:tr w:rsidR="00F73719" w:rsidRPr="00F73719" w14:paraId="4B485E7C" w14:textId="77777777" w:rsidTr="00F73719">
        <w:trPr>
          <w:jc w:val="center"/>
        </w:trPr>
        <w:tc>
          <w:tcPr>
            <w:tcW w:w="3133" w:type="dxa"/>
            <w:vAlign w:val="center"/>
          </w:tcPr>
          <w:p w14:paraId="163176CA"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13–14</w:t>
            </w:r>
          </w:p>
        </w:tc>
        <w:tc>
          <w:tcPr>
            <w:tcW w:w="1961" w:type="dxa"/>
            <w:vAlign w:val="center"/>
          </w:tcPr>
          <w:p w14:paraId="02A6EC24"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6</w:t>
            </w:r>
          </w:p>
        </w:tc>
        <w:tc>
          <w:tcPr>
            <w:tcW w:w="1961" w:type="dxa"/>
            <w:vAlign w:val="center"/>
          </w:tcPr>
          <w:p w14:paraId="58BDE2DD"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7,5</w:t>
            </w:r>
          </w:p>
        </w:tc>
        <w:tc>
          <w:tcPr>
            <w:tcW w:w="1961" w:type="dxa"/>
            <w:vAlign w:val="center"/>
          </w:tcPr>
          <w:p w14:paraId="07B52490"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10</w:t>
            </w:r>
          </w:p>
        </w:tc>
      </w:tr>
      <w:tr w:rsidR="00F73719" w:rsidRPr="00F73719" w14:paraId="0E6EAFB9" w14:textId="77777777" w:rsidTr="00F73719">
        <w:trPr>
          <w:jc w:val="center"/>
        </w:trPr>
        <w:tc>
          <w:tcPr>
            <w:tcW w:w="3133" w:type="dxa"/>
            <w:vAlign w:val="center"/>
          </w:tcPr>
          <w:p w14:paraId="325DA166"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15–16</w:t>
            </w:r>
          </w:p>
        </w:tc>
        <w:tc>
          <w:tcPr>
            <w:tcW w:w="1961" w:type="dxa"/>
            <w:vAlign w:val="center"/>
          </w:tcPr>
          <w:p w14:paraId="4D05A48A"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6C861DD8"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7033CDE5"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7,5</w:t>
            </w:r>
          </w:p>
        </w:tc>
      </w:tr>
      <w:tr w:rsidR="00F73719" w:rsidRPr="00F73719" w14:paraId="24A14D30" w14:textId="77777777" w:rsidTr="00F73719">
        <w:trPr>
          <w:jc w:val="center"/>
        </w:trPr>
        <w:tc>
          <w:tcPr>
            <w:tcW w:w="3133" w:type="dxa"/>
            <w:vAlign w:val="center"/>
          </w:tcPr>
          <w:p w14:paraId="4758047A"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17–18</w:t>
            </w:r>
          </w:p>
        </w:tc>
        <w:tc>
          <w:tcPr>
            <w:tcW w:w="1961" w:type="dxa"/>
            <w:vAlign w:val="center"/>
          </w:tcPr>
          <w:p w14:paraId="16B0A5F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11DBF948"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3EF6FEFF"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7,5</w:t>
            </w:r>
          </w:p>
        </w:tc>
      </w:tr>
      <w:tr w:rsidR="00F73719" w:rsidRPr="00F73719" w14:paraId="719E33A0" w14:textId="77777777" w:rsidTr="00F73719">
        <w:trPr>
          <w:jc w:val="center"/>
        </w:trPr>
        <w:tc>
          <w:tcPr>
            <w:tcW w:w="3133" w:type="dxa"/>
            <w:vAlign w:val="center"/>
          </w:tcPr>
          <w:p w14:paraId="5B1AE807"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19–20</w:t>
            </w:r>
          </w:p>
        </w:tc>
        <w:tc>
          <w:tcPr>
            <w:tcW w:w="1961" w:type="dxa"/>
            <w:vAlign w:val="center"/>
          </w:tcPr>
          <w:p w14:paraId="32443A3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7E7A62D6"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382EAC8B"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r>
      <w:tr w:rsidR="00F73719" w:rsidRPr="00F73719" w14:paraId="687B172A" w14:textId="77777777" w:rsidTr="00F73719">
        <w:trPr>
          <w:jc w:val="center"/>
        </w:trPr>
        <w:tc>
          <w:tcPr>
            <w:tcW w:w="3133" w:type="dxa"/>
            <w:vAlign w:val="center"/>
          </w:tcPr>
          <w:p w14:paraId="5D2F66E0"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21–22</w:t>
            </w:r>
          </w:p>
        </w:tc>
        <w:tc>
          <w:tcPr>
            <w:tcW w:w="1961" w:type="dxa"/>
            <w:vAlign w:val="center"/>
          </w:tcPr>
          <w:p w14:paraId="7E8A92FC"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2535D82B"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1DB29E99"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r>
      <w:tr w:rsidR="00F73719" w:rsidRPr="00F73719" w14:paraId="5984B2C6" w14:textId="77777777" w:rsidTr="00F73719">
        <w:trPr>
          <w:jc w:val="center"/>
        </w:trPr>
        <w:tc>
          <w:tcPr>
            <w:tcW w:w="3133" w:type="dxa"/>
            <w:vAlign w:val="center"/>
          </w:tcPr>
          <w:p w14:paraId="5534A051"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Săptămânile 23–52</w:t>
            </w:r>
          </w:p>
        </w:tc>
        <w:tc>
          <w:tcPr>
            <w:tcW w:w="1961" w:type="dxa"/>
            <w:vAlign w:val="center"/>
          </w:tcPr>
          <w:p w14:paraId="5EF71924"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488C727D"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c>
          <w:tcPr>
            <w:tcW w:w="1961" w:type="dxa"/>
            <w:vAlign w:val="center"/>
          </w:tcPr>
          <w:p w14:paraId="4F10FB47"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5</w:t>
            </w:r>
          </w:p>
        </w:tc>
      </w:tr>
      <w:tr w:rsidR="00F73719" w:rsidRPr="00F73719" w14:paraId="54D42D4F" w14:textId="77777777" w:rsidTr="00F73719">
        <w:trPr>
          <w:jc w:val="center"/>
        </w:trPr>
        <w:tc>
          <w:tcPr>
            <w:tcW w:w="3133" w:type="dxa"/>
            <w:vAlign w:val="center"/>
          </w:tcPr>
          <w:p w14:paraId="52CB49EB" w14:textId="77777777" w:rsidR="00F73719" w:rsidRPr="002A6EAB" w:rsidRDefault="00F73719" w:rsidP="00F73719">
            <w:pPr>
              <w:rPr>
                <w:rFonts w:ascii="Times New Roman" w:eastAsia="Arial" w:hAnsi="Times New Roman" w:cs="Times New Roman"/>
                <w:sz w:val="24"/>
                <w:szCs w:val="24"/>
              </w:rPr>
            </w:pPr>
            <w:r w:rsidRPr="002A6EAB">
              <w:rPr>
                <w:rFonts w:ascii="Times New Roman" w:eastAsia="Arial" w:hAnsi="Times New Roman" w:cs="Times New Roman"/>
                <w:sz w:val="24"/>
                <w:szCs w:val="24"/>
              </w:rPr>
              <w:t>După săptămâna 52</w:t>
            </w:r>
          </w:p>
        </w:tc>
        <w:tc>
          <w:tcPr>
            <w:tcW w:w="1961" w:type="dxa"/>
            <w:vAlign w:val="center"/>
          </w:tcPr>
          <w:p w14:paraId="5BDF9D1A"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individualizat</w:t>
            </w:r>
          </w:p>
        </w:tc>
        <w:tc>
          <w:tcPr>
            <w:tcW w:w="1961" w:type="dxa"/>
            <w:vAlign w:val="center"/>
          </w:tcPr>
          <w:p w14:paraId="2C9ADB64"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individualizat</w:t>
            </w:r>
          </w:p>
        </w:tc>
        <w:tc>
          <w:tcPr>
            <w:tcW w:w="1961" w:type="dxa"/>
            <w:vAlign w:val="center"/>
          </w:tcPr>
          <w:p w14:paraId="4BDF6936" w14:textId="77777777" w:rsidR="00F73719" w:rsidRPr="002A6EAB" w:rsidRDefault="00F73719" w:rsidP="00F73719">
            <w:pPr>
              <w:jc w:val="center"/>
              <w:rPr>
                <w:rFonts w:ascii="Times New Roman" w:eastAsia="Arial" w:hAnsi="Times New Roman" w:cs="Times New Roman"/>
                <w:sz w:val="24"/>
                <w:szCs w:val="24"/>
              </w:rPr>
            </w:pPr>
            <w:r w:rsidRPr="002A6EAB">
              <w:rPr>
                <w:rFonts w:ascii="Times New Roman" w:eastAsia="Arial" w:hAnsi="Times New Roman" w:cs="Times New Roman"/>
                <w:sz w:val="24"/>
                <w:szCs w:val="24"/>
              </w:rPr>
              <w:t>individualizat</w:t>
            </w:r>
          </w:p>
        </w:tc>
      </w:tr>
    </w:tbl>
    <w:p w14:paraId="6ADB10BB" w14:textId="77777777" w:rsidR="00F73719" w:rsidRPr="00F73719" w:rsidRDefault="00F73719" w:rsidP="00F73719">
      <w:pPr>
        <w:spacing w:before="160"/>
        <w:jc w:val="both"/>
        <w:rPr>
          <w:rFonts w:ascii="Times New Roman" w:hAnsi="Times New Roman" w:cs="Times New Roman"/>
        </w:rPr>
      </w:pPr>
      <w:r w:rsidRPr="002A6EAB">
        <w:rPr>
          <w:rFonts w:ascii="Times New Roman" w:hAnsi="Times New Roman" w:cs="Times New Roman"/>
          <w:i/>
          <w:iCs/>
        </w:rPr>
        <w:t>Notă practică</w:t>
      </w:r>
      <w:r w:rsidRPr="00F73719">
        <w:rPr>
          <w:rFonts w:ascii="Times New Roman" w:hAnsi="Times New Roman" w:cs="Times New Roman"/>
        </w:rPr>
        <w:t>: schema urmărește atingerea dozei de aproximativ 5 mg/zi prednison/prednisolon echivalent în 4–5 luni; ulterior, continuarea sau oprirea glucocorticoizilor se individualizează în funcție de activitatea bolii, riscul de recădere, comorbidități și tratamentul imunosupresor asociat.</w:t>
      </w:r>
    </w:p>
    <w:p w14:paraId="4E30750F" w14:textId="77777777" w:rsidR="002A6EAB" w:rsidRDefault="002A6EAB" w:rsidP="00B9220C">
      <w:pPr>
        <w:spacing w:after="200" w:line="360" w:lineRule="auto"/>
        <w:ind w:firstLine="720"/>
        <w:jc w:val="both"/>
        <w:rPr>
          <w:rFonts w:ascii="Times New Roman" w:eastAsia="Times New Roman" w:hAnsi="Times New Roman" w:cs="Times New Roman"/>
          <w:sz w:val="24"/>
          <w:szCs w:val="24"/>
          <w:lang w:val="ro-RO"/>
        </w:rPr>
      </w:pPr>
    </w:p>
    <w:p w14:paraId="711DB863" w14:textId="660F31CC" w:rsidR="0007591B" w:rsidRDefault="00F81C34" w:rsidP="00B9220C">
      <w:pPr>
        <w:spacing w:after="200" w:line="360" w:lineRule="auto"/>
        <w:ind w:firstLine="720"/>
        <w:jc w:val="both"/>
        <w:rPr>
          <w:rFonts w:ascii="Times New Roman" w:eastAsia="Times New Roman" w:hAnsi="Times New Roman" w:cs="Times New Roman"/>
          <w:sz w:val="24"/>
          <w:szCs w:val="24"/>
          <w:lang w:val="ro-RO"/>
        </w:rPr>
      </w:pPr>
      <w:r w:rsidRPr="00F81C34">
        <w:rPr>
          <w:rFonts w:ascii="Times New Roman" w:eastAsia="Times New Roman" w:hAnsi="Times New Roman" w:cs="Times New Roman"/>
          <w:sz w:val="24"/>
          <w:szCs w:val="24"/>
          <w:lang w:val="ro-RO"/>
        </w:rPr>
        <w:t xml:space="preserve">Administrarea de ciclofosfamidă </w:t>
      </w:r>
      <w:r w:rsidR="00B859DD">
        <w:rPr>
          <w:rFonts w:ascii="Times New Roman" w:eastAsia="Times New Roman" w:hAnsi="Times New Roman" w:cs="Times New Roman"/>
          <w:sz w:val="24"/>
          <w:szCs w:val="24"/>
          <w:lang w:val="ro-RO"/>
        </w:rPr>
        <w:t>se poate face oral</w:t>
      </w:r>
      <w:r w:rsidR="002A6EAB">
        <w:rPr>
          <w:rFonts w:ascii="Times New Roman" w:eastAsia="Times New Roman" w:hAnsi="Times New Roman" w:cs="Times New Roman"/>
          <w:sz w:val="24"/>
          <w:szCs w:val="24"/>
          <w:lang w:val="ro-RO"/>
        </w:rPr>
        <w:t>,</w:t>
      </w:r>
      <w:r w:rsidR="006D2735">
        <w:rPr>
          <w:rFonts w:ascii="Times New Roman" w:eastAsia="Times New Roman" w:hAnsi="Times New Roman" w:cs="Times New Roman"/>
          <w:sz w:val="24"/>
          <w:szCs w:val="24"/>
          <w:lang w:val="ro-RO"/>
        </w:rPr>
        <w:t xml:space="preserve"> 2 mg/kgc/zi</w:t>
      </w:r>
      <w:r w:rsidR="00445E3F">
        <w:rPr>
          <w:rFonts w:ascii="Times New Roman" w:eastAsia="Times New Roman" w:hAnsi="Times New Roman" w:cs="Times New Roman"/>
          <w:sz w:val="24"/>
          <w:szCs w:val="24"/>
          <w:lang w:val="ro-RO"/>
        </w:rPr>
        <w:t xml:space="preserve"> (aspect care nu mai este menționat în ultimele ghiduri internaționale)</w:t>
      </w:r>
      <w:r w:rsidR="002A6EAB">
        <w:rPr>
          <w:rFonts w:ascii="Times New Roman" w:eastAsia="Times New Roman" w:hAnsi="Times New Roman" w:cs="Times New Roman"/>
          <w:sz w:val="24"/>
          <w:szCs w:val="24"/>
          <w:lang w:val="ro-RO"/>
        </w:rPr>
        <w:t>,</w:t>
      </w:r>
      <w:r w:rsidR="006D2735">
        <w:rPr>
          <w:rFonts w:ascii="Times New Roman" w:eastAsia="Times New Roman" w:hAnsi="Times New Roman" w:cs="Times New Roman"/>
          <w:sz w:val="24"/>
          <w:szCs w:val="24"/>
          <w:lang w:val="ro-RO"/>
        </w:rPr>
        <w:t xml:space="preserve"> dar cu o doză cumulativă mai mare</w:t>
      </w:r>
      <w:r w:rsidR="00445E3F">
        <w:rPr>
          <w:rFonts w:ascii="Times New Roman" w:eastAsia="Times New Roman" w:hAnsi="Times New Roman" w:cs="Times New Roman"/>
          <w:sz w:val="24"/>
          <w:szCs w:val="24"/>
          <w:lang w:val="ro-RO"/>
        </w:rPr>
        <w:t>,</w:t>
      </w:r>
      <w:r w:rsidR="006D2735">
        <w:rPr>
          <w:rFonts w:ascii="Times New Roman" w:eastAsia="Times New Roman" w:hAnsi="Times New Roman" w:cs="Times New Roman"/>
          <w:sz w:val="24"/>
          <w:szCs w:val="24"/>
          <w:lang w:val="ro-RO"/>
        </w:rPr>
        <w:t xml:space="preserve"> sau i.v. </w:t>
      </w:r>
      <w:r w:rsidR="00E7054D">
        <w:rPr>
          <w:rFonts w:ascii="Times New Roman" w:eastAsia="Times New Roman" w:hAnsi="Times New Roman" w:cs="Times New Roman"/>
          <w:sz w:val="24"/>
          <w:szCs w:val="24"/>
          <w:lang w:val="ro-RO"/>
        </w:rPr>
        <w:t>15 mg/kgc/zi</w:t>
      </w:r>
      <w:r w:rsidR="00D4014B" w:rsidRPr="00D4014B">
        <w:rPr>
          <w:rFonts w:ascii="Times New Roman" w:eastAsia="Times New Roman" w:hAnsi="Times New Roman" w:cs="Times New Roman"/>
          <w:sz w:val="24"/>
          <w:szCs w:val="24"/>
          <w:lang w:val="ro-RO"/>
        </w:rPr>
        <w:t xml:space="preserve"> la 14 zile p</w:t>
      </w:r>
      <w:r w:rsidR="00D4014B">
        <w:rPr>
          <w:rFonts w:ascii="Times New Roman" w:eastAsia="Times New Roman" w:hAnsi="Times New Roman" w:cs="Times New Roman"/>
          <w:sz w:val="24"/>
          <w:szCs w:val="24"/>
          <w:lang w:val="ro-RO"/>
        </w:rPr>
        <w:t>entru primele</w:t>
      </w:r>
      <w:r w:rsidR="00D4014B" w:rsidRPr="00D4014B">
        <w:rPr>
          <w:rFonts w:ascii="Times New Roman" w:eastAsia="Times New Roman" w:hAnsi="Times New Roman" w:cs="Times New Roman"/>
          <w:sz w:val="24"/>
          <w:szCs w:val="24"/>
          <w:lang w:val="ro-RO"/>
        </w:rPr>
        <w:t xml:space="preserve"> 3 doze, apoi 15 mg/kgc la 21 zile minim 3 </w:t>
      </w:r>
      <w:r w:rsidR="00D4014B" w:rsidRPr="007C110D">
        <w:rPr>
          <w:rFonts w:ascii="Times New Roman" w:eastAsia="Times New Roman" w:hAnsi="Times New Roman" w:cs="Times New Roman"/>
          <w:sz w:val="24"/>
          <w:szCs w:val="24"/>
          <w:lang w:val="ro-RO"/>
        </w:rPr>
        <w:t>doze</w:t>
      </w:r>
      <w:r w:rsidR="007C110D">
        <w:rPr>
          <w:rFonts w:ascii="Times New Roman" w:eastAsia="Times New Roman" w:hAnsi="Times New Roman" w:cs="Times New Roman"/>
          <w:sz w:val="24"/>
          <w:szCs w:val="24"/>
          <w:lang w:val="ro-RO"/>
        </w:rPr>
        <w:t>. N</w:t>
      </w:r>
      <w:r w:rsidRPr="007C110D">
        <w:rPr>
          <w:rFonts w:ascii="Times New Roman" w:eastAsia="Times New Roman" w:hAnsi="Times New Roman" w:cs="Times New Roman"/>
          <w:sz w:val="24"/>
          <w:szCs w:val="24"/>
          <w:lang w:val="ro-RO"/>
        </w:rPr>
        <w:t>ecesită</w:t>
      </w:r>
      <w:r w:rsidRPr="00F81C34">
        <w:rPr>
          <w:rFonts w:ascii="Times New Roman" w:eastAsia="Times New Roman" w:hAnsi="Times New Roman" w:cs="Times New Roman"/>
          <w:sz w:val="24"/>
          <w:szCs w:val="24"/>
          <w:lang w:val="ro-RO"/>
        </w:rPr>
        <w:t xml:space="preserve"> precauții legate</w:t>
      </w:r>
      <w:r w:rsidR="00B9220C">
        <w:rPr>
          <w:rFonts w:ascii="Times New Roman" w:eastAsia="Times New Roman" w:hAnsi="Times New Roman" w:cs="Times New Roman"/>
          <w:sz w:val="24"/>
          <w:szCs w:val="24"/>
          <w:lang w:val="ro-RO"/>
        </w:rPr>
        <w:t xml:space="preserve"> de leucopenie</w:t>
      </w:r>
      <w:r w:rsidR="002A6EAB">
        <w:rPr>
          <w:rFonts w:ascii="Times New Roman" w:eastAsia="Times New Roman" w:hAnsi="Times New Roman" w:cs="Times New Roman"/>
          <w:sz w:val="24"/>
          <w:szCs w:val="24"/>
          <w:lang w:val="ro-RO"/>
        </w:rPr>
        <w:t>,</w:t>
      </w:r>
      <w:r w:rsidR="00B9220C">
        <w:rPr>
          <w:rFonts w:ascii="Times New Roman" w:eastAsia="Times New Roman" w:hAnsi="Times New Roman" w:cs="Times New Roman"/>
          <w:sz w:val="24"/>
          <w:szCs w:val="24"/>
          <w:lang w:val="ro-RO"/>
        </w:rPr>
        <w:t xml:space="preserve"> care apare la 10–14 zile</w:t>
      </w:r>
      <w:r w:rsidR="002A6EAB">
        <w:rPr>
          <w:rFonts w:ascii="Times New Roman" w:eastAsia="Times New Roman" w:hAnsi="Times New Roman" w:cs="Times New Roman"/>
          <w:sz w:val="24"/>
          <w:szCs w:val="24"/>
          <w:lang w:val="ro-RO"/>
        </w:rPr>
        <w:t>,</w:t>
      </w:r>
      <w:r w:rsidR="00B9220C">
        <w:rPr>
          <w:rFonts w:ascii="Times New Roman" w:eastAsia="Times New Roman" w:hAnsi="Times New Roman" w:cs="Times New Roman"/>
          <w:sz w:val="24"/>
          <w:szCs w:val="24"/>
          <w:lang w:val="ro-RO"/>
        </w:rPr>
        <w:t xml:space="preserve"> dar</w:t>
      </w:r>
      <w:r w:rsidRPr="00F81C34">
        <w:rPr>
          <w:rFonts w:ascii="Times New Roman" w:eastAsia="Times New Roman" w:hAnsi="Times New Roman" w:cs="Times New Roman"/>
          <w:sz w:val="24"/>
          <w:szCs w:val="24"/>
          <w:lang w:val="ro-RO"/>
        </w:rPr>
        <w:t xml:space="preserve"> și de riscul de cistită hemoragică și carcinom scuamos al vezicii urinare d</w:t>
      </w:r>
      <w:r w:rsidR="002A6EAB">
        <w:rPr>
          <w:rFonts w:ascii="Times New Roman" w:eastAsia="Times New Roman" w:hAnsi="Times New Roman" w:cs="Times New Roman"/>
          <w:sz w:val="24"/>
          <w:szCs w:val="24"/>
          <w:lang w:val="ro-RO"/>
        </w:rPr>
        <w:t>in cauza</w:t>
      </w:r>
      <w:r w:rsidRPr="00F81C34">
        <w:rPr>
          <w:rFonts w:ascii="Times New Roman" w:eastAsia="Times New Roman" w:hAnsi="Times New Roman" w:cs="Times New Roman"/>
          <w:sz w:val="24"/>
          <w:szCs w:val="24"/>
          <w:lang w:val="ro-RO"/>
        </w:rPr>
        <w:t xml:space="preserve"> efectului toxic al unui metabolit al acesteia, acroleina. O hidratare adecvată și utilizarea de sodiu 2-mercaptoetansulfonat (MESNA) care leagă acroleina previn acest efect nedorit. Nu în ultimul rând, o problemă majoră a acestui medicament este faptul că poate induce infertilitate. </w:t>
      </w:r>
      <w:r w:rsidR="00CF795A">
        <w:rPr>
          <w:rFonts w:ascii="Times New Roman" w:eastAsia="Times New Roman" w:hAnsi="Times New Roman" w:cs="Times New Roman"/>
          <w:sz w:val="24"/>
          <w:szCs w:val="24"/>
          <w:lang w:val="ro-RO"/>
        </w:rPr>
        <w:t>Doza cumulativă maximă admisă este de 25 g.</w:t>
      </w:r>
      <w:r w:rsidR="00455AE5">
        <w:rPr>
          <w:rFonts w:ascii="Times New Roman" w:eastAsia="Times New Roman" w:hAnsi="Times New Roman" w:cs="Times New Roman"/>
          <w:sz w:val="24"/>
          <w:szCs w:val="24"/>
          <w:lang w:val="ro-RO"/>
        </w:rPr>
        <w:t xml:space="preserve"> </w:t>
      </w:r>
    </w:p>
    <w:p w14:paraId="1C37A1E2" w14:textId="77777777" w:rsidR="00745D3C" w:rsidRPr="0007591B" w:rsidRDefault="00455AE5" w:rsidP="00B9220C">
      <w:pPr>
        <w:spacing w:after="200" w:line="36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formele cu afectare renală sau pulmonară severă, se poate lua în considerare și plasmafereza. Totuși, cel puțin pentru afectarea renală se pare că nu modifică rata de mortalitate sau evoluția spre insuficiență renală terminală.</w:t>
      </w:r>
    </w:p>
    <w:p w14:paraId="1D4A0E94" w14:textId="77777777" w:rsidR="00454553" w:rsidRPr="008D6F38" w:rsidRDefault="00B301E2" w:rsidP="00454553">
      <w:pPr>
        <w:spacing w:after="200" w:line="360" w:lineRule="auto"/>
        <w:ind w:firstLine="720"/>
        <w:jc w:val="both"/>
        <w:rPr>
          <w:rFonts w:ascii="Times New Roman" w:eastAsia="Times New Roman" w:hAnsi="Times New Roman" w:cs="Times New Roman"/>
          <w:sz w:val="24"/>
          <w:szCs w:val="24"/>
          <w:lang w:val="ro-RO"/>
        </w:rPr>
      </w:pPr>
      <w:r w:rsidRPr="008D6F38">
        <w:rPr>
          <w:rFonts w:ascii="Times New Roman" w:hAnsi="Times New Roman" w:cs="Times New Roman"/>
          <w:sz w:val="24"/>
          <w:szCs w:val="24"/>
        </w:rPr>
        <w:t xml:space="preserve">Rituximabul este un anticorp monoclonal himeric anti-CD20, administrat în doză de 375 mg/m² i.v. săptămânal, timp de 4 săptămâni consecutiv. Este acceptată și varianta de 1 g la 2 săptămâni pentru două cure. Tratamentul este indicat în formele active, amenințătoare de organ sau de viață, cu scor de activitate BVAS ≥ 3, incluzând afectare renală severă și progresivă, afectare pulmonară severă (inclusiv hemoragie alveolară), afectare </w:t>
      </w:r>
      <w:r w:rsidRPr="008D6F38">
        <w:rPr>
          <w:rFonts w:ascii="Times New Roman" w:hAnsi="Times New Roman" w:cs="Times New Roman"/>
          <w:sz w:val="24"/>
          <w:szCs w:val="24"/>
        </w:rPr>
        <w:lastRenderedPageBreak/>
        <w:t>gastrointestinală, cardiacă, neurologică sau oculară severă și progresivă. În cazul pacienților seronegativi este necesară confirmarea histologică a diagnosticului.</w:t>
      </w:r>
    </w:p>
    <w:p w14:paraId="3D1E1570" w14:textId="77777777" w:rsidR="00983FBD" w:rsidRDefault="00B60DB0" w:rsidP="002A6EAB">
      <w:pPr>
        <w:pStyle w:val="NormalWeb"/>
        <w:spacing w:line="360" w:lineRule="auto"/>
        <w:ind w:firstLine="720"/>
        <w:jc w:val="both"/>
      </w:pPr>
      <w:r>
        <w:t xml:space="preserve">Rituximabul este </w:t>
      </w:r>
      <w:r w:rsidR="007F609A">
        <w:t>de preferat</w:t>
      </w:r>
      <w:r>
        <w:t xml:space="preserve"> față de ciclofosfamidă în situațiile în care se urmărește reducerea toxicității cumulative, inclusiv prezervarea fertilității</w:t>
      </w:r>
      <w:r w:rsidR="007F609A">
        <w:t xml:space="preserve"> la ambele sexe</w:t>
      </w:r>
      <w:r>
        <w:t xml:space="preserve"> și reducerea riscului de neoplazii asociat expunerii la ciclofosfamidă.</w:t>
      </w:r>
      <w:r w:rsidR="007F609A">
        <w:t xml:space="preserve"> De asemenea, la pacienții cu recădere, studiul RAVE a demonstrat superioritatea biologicului în fața </w:t>
      </w:r>
      <w:r w:rsidR="00983FBD">
        <w:t>agentului alchilant.</w:t>
      </w:r>
    </w:p>
    <w:p w14:paraId="46294314" w14:textId="77777777" w:rsidR="00983FBD" w:rsidRDefault="00983FBD" w:rsidP="00983FBD">
      <w:pPr>
        <w:pStyle w:val="NormalWeb"/>
        <w:spacing w:line="360" w:lineRule="auto"/>
        <w:ind w:firstLine="720"/>
        <w:jc w:val="both"/>
      </w:pPr>
      <w:r>
        <w:t>Ca în cazul altor biologice, anterior inițierii RTX este necesar screening infecțios pentru tuberculoză latentă (istoricul de boală și de contact, examen clinic, radiografie pulmonară și test IGRA/QuantiFERON) și pentru infecții cronice cu virusuri hepatitice B și C (AgHBs, anti-HBs, anti-HBc IgG și anti-HCV). În cazul markerilor virali pozitivi sau al testării pozitive pentru tuberculoză latentă, inițierea tratamentului se face numai după evaluare de specialitate și aplicarea măsurilor profilactice corespunzătoare.</w:t>
      </w:r>
    </w:p>
    <w:p w14:paraId="37FF247E" w14:textId="77777777" w:rsidR="00983FBD" w:rsidRDefault="00B60DB0" w:rsidP="00983FBD">
      <w:pPr>
        <w:pStyle w:val="NormalWeb"/>
        <w:spacing w:line="360" w:lineRule="auto"/>
        <w:ind w:firstLine="720"/>
        <w:jc w:val="both"/>
      </w:pPr>
      <w:r>
        <w:t xml:space="preserve">Durata etapei de inducție este de </w:t>
      </w:r>
      <w:r>
        <w:rPr>
          <w:rStyle w:val="Strong"/>
        </w:rPr>
        <w:t>3–6 luni</w:t>
      </w:r>
      <w:r>
        <w:t xml:space="preserve">, ținta terapeutică fiind obținerea remisiunii, definită prin absența activității bolii, cu </w:t>
      </w:r>
      <w:r w:rsidR="00983FBD">
        <w:t xml:space="preserve">scor </w:t>
      </w:r>
      <w:r>
        <w:rPr>
          <w:rStyle w:val="Strong"/>
        </w:rPr>
        <w:t>BVAS = 0</w:t>
      </w:r>
      <w:r>
        <w:t>, ideal fără glucocorticoizi.</w:t>
      </w:r>
      <w:r w:rsidR="00983FBD" w:rsidRPr="00983FBD">
        <w:t xml:space="preserve"> </w:t>
      </w:r>
      <w:r w:rsidR="00983FBD">
        <w:t xml:space="preserve">Evaluarea răspunsului la rituximab în inducția remisiunii se realizează la </w:t>
      </w:r>
      <w:r w:rsidR="00983FBD">
        <w:rPr>
          <w:rStyle w:val="Strong"/>
        </w:rPr>
        <w:t>8, 16 și 24 de săptămâni</w:t>
      </w:r>
      <w:r w:rsidR="00983FBD">
        <w:t xml:space="preserve"> de la inițiere, prin examen clinic, investigații biologice — hemoleucogramă, VSH, CRP, uree, creatinină, acid uric, sumar de urină, proteinurie, rata filtrării glomerulare, evaluarea activității bolii prin scorul BVAS și evaluarea afectării structurale prin VDI. Intervalul de monitorizare pentru ANCA este de 24 de săptămâni. </w:t>
      </w:r>
    </w:p>
    <w:p w14:paraId="5227C186" w14:textId="77777777" w:rsidR="001D75E8" w:rsidRPr="00DB76AF" w:rsidRDefault="00B60DB0" w:rsidP="00983FBD">
      <w:pPr>
        <w:pStyle w:val="NormalWeb"/>
        <w:spacing w:line="360" w:lineRule="auto"/>
        <w:ind w:firstLine="720"/>
        <w:jc w:val="both"/>
      </w:pPr>
      <w:r>
        <w:t xml:space="preserve">Pentru menținerea remisiunii, se poate utiliza rituximab, azatioprină sau metotrexat. Rituximabul este tratamentul de elecție la pacienții cu GPA și PAM înalt activă după inducția remisiunii cu rituximab sau ciclofosfamidă. Schema recomandată constă în două perfuzii de 500 mg intravenos, administrate la interval de 2 săptămâni, urmate de 500 mg intravenos la fiecare 24 de săptămâni. În cazul recăderilor, intervalul de administrare poate fi redus la 4 luni sau doza poate fi crescută la 1 g la 6 luni. Tratamentul de menținere se recomandă pentru minimum 24 de luni după obținerea remisiunii, cu posibilitatea prelungirii până la 5 ani la pacienții cu risc crescut de recurență. </w:t>
      </w:r>
    </w:p>
    <w:p w14:paraId="5A382405" w14:textId="780146BE" w:rsidR="00F81C34" w:rsidRDefault="00983FBD" w:rsidP="00454553">
      <w:pPr>
        <w:spacing w:after="200" w:line="360" w:lineRule="auto"/>
        <w:ind w:firstLine="720"/>
        <w:jc w:val="both"/>
        <w:rPr>
          <w:rFonts w:ascii="Times New Roman" w:eastAsia="Times New Roman" w:hAnsi="Times New Roman" w:cs="Times New Roman"/>
          <w:sz w:val="24"/>
          <w:szCs w:val="24"/>
          <w:lang w:val="ro-RO"/>
        </w:rPr>
      </w:pPr>
      <w:r w:rsidRPr="00F81C34">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Pentru pacienții tratați cu imunosupresoare</w:t>
      </w:r>
      <w:r w:rsidR="002A6EAB">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se recomandă utilizarea de </w:t>
      </w:r>
      <w:r w:rsidRPr="001D75E8">
        <w:rPr>
          <w:rFonts w:ascii="Times New Roman" w:eastAsia="Times New Roman" w:hAnsi="Times New Roman" w:cs="Times New Roman"/>
          <w:sz w:val="24"/>
          <w:szCs w:val="24"/>
          <w:lang w:val="ro-RO"/>
        </w:rPr>
        <w:t xml:space="preserve">trimetoprim–sulfametoxazol </w:t>
      </w:r>
      <w:r>
        <w:rPr>
          <w:rFonts w:ascii="Times New Roman" w:eastAsia="Times New Roman" w:hAnsi="Times New Roman" w:cs="Times New Roman"/>
          <w:sz w:val="24"/>
          <w:szCs w:val="24"/>
          <w:lang w:val="ro-RO"/>
        </w:rPr>
        <w:t>în vederea profilaxiei infecției cu</w:t>
      </w:r>
      <w:r w:rsidRPr="001D75E8">
        <w:rPr>
          <w:rFonts w:ascii="Times New Roman" w:eastAsia="Times New Roman" w:hAnsi="Times New Roman" w:cs="Times New Roman"/>
          <w:sz w:val="24"/>
          <w:szCs w:val="24"/>
          <w:lang w:val="ro-RO"/>
        </w:rPr>
        <w:t xml:space="preserve"> Pneumocystis jirovecii</w:t>
      </w:r>
      <w:r>
        <w:rPr>
          <w:rFonts w:ascii="Times New Roman" w:eastAsia="Times New Roman" w:hAnsi="Times New Roman" w:cs="Times New Roman"/>
          <w:sz w:val="24"/>
          <w:szCs w:val="24"/>
          <w:lang w:val="ro-RO"/>
        </w:rPr>
        <w:t>.</w:t>
      </w:r>
      <w:r>
        <w:t xml:space="preserve"> </w:t>
      </w:r>
    </w:p>
    <w:p w14:paraId="36CAB4B3" w14:textId="77777777" w:rsidR="009E6AE7" w:rsidRDefault="009E6AE7" w:rsidP="009E6AE7">
      <w:pPr>
        <w:spacing w:after="200" w:line="36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lastRenderedPageBreak/>
        <w:t xml:space="preserve">Vasculitele ANCA asociate sunt boli </w:t>
      </w:r>
      <w:r w:rsidR="00AD2C5B">
        <w:rPr>
          <w:rFonts w:ascii="Times New Roman" w:eastAsia="Times New Roman" w:hAnsi="Times New Roman" w:cs="Times New Roman"/>
          <w:sz w:val="24"/>
          <w:szCs w:val="24"/>
        </w:rPr>
        <w:t>deosebit de severe, evolu</w:t>
      </w:r>
      <w:r w:rsidR="00AD2C5B">
        <w:rPr>
          <w:rFonts w:ascii="Times New Roman" w:eastAsia="Times New Roman" w:hAnsi="Times New Roman" w:cs="Times New Roman"/>
          <w:sz w:val="24"/>
          <w:szCs w:val="24"/>
          <w:lang w:val="ro-RO"/>
        </w:rPr>
        <w:t>ția naturală presupunând o mortalitate de 80% la 12 luni</w:t>
      </w:r>
      <w:r w:rsidR="00A71F3E">
        <w:rPr>
          <w:rFonts w:ascii="Times New Roman" w:eastAsia="Times New Roman" w:hAnsi="Times New Roman" w:cs="Times New Roman"/>
          <w:sz w:val="24"/>
          <w:szCs w:val="24"/>
          <w:lang w:val="ro-RO"/>
        </w:rPr>
        <w:t>.</w:t>
      </w:r>
      <w:r w:rsidR="00CE32B2">
        <w:rPr>
          <w:rFonts w:ascii="Times New Roman" w:eastAsia="Times New Roman" w:hAnsi="Times New Roman" w:cs="Times New Roman"/>
          <w:sz w:val="24"/>
          <w:szCs w:val="24"/>
          <w:lang w:val="ro-RO"/>
        </w:rPr>
        <w:t xml:space="preserve"> Cu tratament, mortalitatea scade însă la 25% la 5 ani.</w:t>
      </w:r>
      <w:r w:rsidR="0060228C">
        <w:rPr>
          <w:rFonts w:ascii="Times New Roman" w:eastAsia="Times New Roman" w:hAnsi="Times New Roman" w:cs="Times New Roman"/>
          <w:sz w:val="24"/>
          <w:szCs w:val="24"/>
          <w:lang w:val="ro-RO"/>
        </w:rPr>
        <w:t xml:space="preserve"> </w:t>
      </w:r>
      <w:r w:rsidR="004B7D69">
        <w:rPr>
          <w:rFonts w:ascii="Times New Roman" w:eastAsia="Times New Roman" w:hAnsi="Times New Roman" w:cs="Times New Roman"/>
          <w:sz w:val="24"/>
          <w:szCs w:val="24"/>
          <w:lang w:val="ro-RO"/>
        </w:rPr>
        <w:t xml:space="preserve">Chiar și atunci când intră în remisiune </w:t>
      </w:r>
      <w:r w:rsidR="00F53FE9">
        <w:rPr>
          <w:rFonts w:ascii="Times New Roman" w:eastAsia="Times New Roman" w:hAnsi="Times New Roman" w:cs="Times New Roman"/>
          <w:sz w:val="24"/>
          <w:szCs w:val="24"/>
          <w:lang w:val="ro-RO"/>
        </w:rPr>
        <w:t>e</w:t>
      </w:r>
      <w:r w:rsidR="0060228C">
        <w:rPr>
          <w:rFonts w:ascii="Times New Roman" w:eastAsia="Times New Roman" w:hAnsi="Times New Roman" w:cs="Times New Roman"/>
          <w:sz w:val="24"/>
          <w:szCs w:val="24"/>
          <w:lang w:val="ro-RO"/>
        </w:rPr>
        <w:t>voluț</w:t>
      </w:r>
      <w:r w:rsidR="00A243A9">
        <w:rPr>
          <w:rFonts w:ascii="Times New Roman" w:eastAsia="Times New Roman" w:hAnsi="Times New Roman" w:cs="Times New Roman"/>
          <w:sz w:val="24"/>
          <w:szCs w:val="24"/>
          <w:lang w:val="ro-RO"/>
        </w:rPr>
        <w:t>ia este caracterizată de o rată de recădere de 50–70%.</w:t>
      </w:r>
    </w:p>
    <w:p w14:paraId="19830B8D" w14:textId="77777777" w:rsidR="00BA2D11" w:rsidRDefault="00BA2D11" w:rsidP="009E6AE7">
      <w:pPr>
        <w:spacing w:after="200" w:line="36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Prognosticul este influențat de rapiditatea diagnosticului și intervenției terapeutice dar și de complicațiile legate de boală și tratament (rată crescută de infecții asociată tratamentului imunosupresor, rată mai mare de neoplazii, în special carcinom scuamos de vezică urinară la cei tratați cu ciclofosfamidă etc). Scorul prognostic pentru vasculitele necrotizante (vezi tabelul de mai jos) se poate aplica și vasculitelor ANCA asociate. Scorul corelează cu creșterea mortalității atunci când este mai mare decât 2.</w:t>
      </w:r>
    </w:p>
    <w:p w14:paraId="535ECF80" w14:textId="20EA54B8" w:rsidR="00610987" w:rsidRPr="00742ABB" w:rsidRDefault="002A6EAB" w:rsidP="00610987">
      <w:pPr>
        <w:autoSpaceDE w:val="0"/>
        <w:autoSpaceDN w:val="0"/>
        <w:adjustRightInd w:val="0"/>
        <w:spacing w:after="200" w:line="360" w:lineRule="auto"/>
        <w:ind w:firstLine="708"/>
        <w:jc w:val="both"/>
        <w:rPr>
          <w:rFonts w:ascii="Times New Roman" w:eastAsia="Calibri" w:hAnsi="Times New Roman" w:cs="Times New Roman"/>
          <w:color w:val="231F20"/>
          <w:sz w:val="24"/>
          <w:szCs w:val="24"/>
          <w:vertAlign w:val="superscript"/>
          <w:lang w:val="ro-RO"/>
        </w:rPr>
      </w:pPr>
      <w:r w:rsidRPr="002A6EAB">
        <w:rPr>
          <w:rFonts w:ascii="Times New Roman" w:eastAsia="Calibri" w:hAnsi="Times New Roman" w:cs="Times New Roman"/>
          <w:b/>
          <w:bCs/>
          <w:color w:val="231F20"/>
          <w:sz w:val="24"/>
          <w:szCs w:val="24"/>
          <w:lang w:val="ro-RO"/>
        </w:rPr>
        <w:t>Tabelul 11.</w:t>
      </w:r>
      <w:r>
        <w:rPr>
          <w:rFonts w:ascii="Times New Roman" w:eastAsia="Calibri" w:hAnsi="Times New Roman" w:cs="Times New Roman"/>
          <w:color w:val="231F20"/>
          <w:sz w:val="24"/>
          <w:szCs w:val="24"/>
          <w:lang w:val="ro-RO"/>
        </w:rPr>
        <w:t xml:space="preserve"> </w:t>
      </w:r>
      <w:r w:rsidR="00610987">
        <w:rPr>
          <w:rFonts w:ascii="Times New Roman" w:eastAsia="Calibri" w:hAnsi="Times New Roman" w:cs="Times New Roman"/>
          <w:color w:val="231F20"/>
          <w:sz w:val="24"/>
          <w:szCs w:val="24"/>
          <w:lang w:val="ro-RO"/>
        </w:rPr>
        <w:t xml:space="preserve">Scorul prognostic al vasculitelor necrotizante, adaptat după </w:t>
      </w:r>
      <w:r w:rsidR="00610987" w:rsidRPr="00742ABB">
        <w:rPr>
          <w:rFonts w:ascii="Times New Roman" w:eastAsia="Calibri" w:hAnsi="Times New Roman" w:cs="Times New Roman"/>
          <w:i/>
          <w:iCs/>
          <w:color w:val="231F20"/>
          <w:sz w:val="24"/>
          <w:szCs w:val="24"/>
          <w:lang w:val="ro-RO"/>
        </w:rPr>
        <w:t>Guillevin et al, 2011</w:t>
      </w:r>
    </w:p>
    <w:tbl>
      <w:tblPr>
        <w:tblStyle w:val="TableGrid"/>
        <w:tblW w:w="0" w:type="auto"/>
        <w:tblLook w:val="04A0" w:firstRow="1" w:lastRow="0" w:firstColumn="1" w:lastColumn="0" w:noHBand="0" w:noVBand="1"/>
      </w:tblPr>
      <w:tblGrid>
        <w:gridCol w:w="6658"/>
        <w:gridCol w:w="2358"/>
      </w:tblGrid>
      <w:tr w:rsidR="00610987" w14:paraId="3442AAD1" w14:textId="77777777" w:rsidTr="005A0D83">
        <w:tc>
          <w:tcPr>
            <w:tcW w:w="6658" w:type="dxa"/>
          </w:tcPr>
          <w:p w14:paraId="774B52F0"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b/>
                <w:color w:val="231F20"/>
                <w:sz w:val="24"/>
                <w:szCs w:val="24"/>
                <w:lang w:val="ro-RO"/>
              </w:rPr>
              <w:t>Factori asociați cu mortalitatea</w:t>
            </w:r>
          </w:p>
        </w:tc>
        <w:tc>
          <w:tcPr>
            <w:tcW w:w="2358" w:type="dxa"/>
          </w:tcPr>
          <w:p w14:paraId="1FB9C18B"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b/>
                <w:color w:val="231F20"/>
                <w:sz w:val="24"/>
                <w:szCs w:val="24"/>
                <w:lang w:val="ro-RO"/>
              </w:rPr>
              <w:t>Puncte</w:t>
            </w:r>
          </w:p>
        </w:tc>
      </w:tr>
      <w:tr w:rsidR="00610987" w14:paraId="12D86C5B" w14:textId="77777777" w:rsidTr="005A0D83">
        <w:tc>
          <w:tcPr>
            <w:tcW w:w="6658" w:type="dxa"/>
          </w:tcPr>
          <w:p w14:paraId="7C9FEC0A"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Insuficiență renală (valoarea creatininei serice &gt; 1,7 mg/dL)</w:t>
            </w:r>
          </w:p>
        </w:tc>
        <w:tc>
          <w:tcPr>
            <w:tcW w:w="2358" w:type="dxa"/>
          </w:tcPr>
          <w:p w14:paraId="1E2F2CDA"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1</w:t>
            </w:r>
          </w:p>
        </w:tc>
      </w:tr>
      <w:tr w:rsidR="00610987" w14:paraId="115B50D1" w14:textId="77777777" w:rsidTr="005A0D83">
        <w:tc>
          <w:tcPr>
            <w:tcW w:w="6658" w:type="dxa"/>
          </w:tcPr>
          <w:p w14:paraId="13C1ABA3"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Afectare gastro-intestinală</w:t>
            </w:r>
          </w:p>
        </w:tc>
        <w:tc>
          <w:tcPr>
            <w:tcW w:w="2358" w:type="dxa"/>
          </w:tcPr>
          <w:p w14:paraId="07E2581F"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1</w:t>
            </w:r>
          </w:p>
        </w:tc>
      </w:tr>
      <w:tr w:rsidR="00610987" w14:paraId="6F1CC7A4" w14:textId="77777777" w:rsidTr="005A0D83">
        <w:tc>
          <w:tcPr>
            <w:tcW w:w="6658" w:type="dxa"/>
          </w:tcPr>
          <w:p w14:paraId="77381433"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Afectare cardiacă</w:t>
            </w:r>
          </w:p>
        </w:tc>
        <w:tc>
          <w:tcPr>
            <w:tcW w:w="2358" w:type="dxa"/>
          </w:tcPr>
          <w:p w14:paraId="3D6BE429"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1</w:t>
            </w:r>
          </w:p>
        </w:tc>
      </w:tr>
      <w:tr w:rsidR="00610987" w14:paraId="1F3B9B02" w14:textId="77777777" w:rsidTr="005A0D83">
        <w:tc>
          <w:tcPr>
            <w:tcW w:w="6658" w:type="dxa"/>
          </w:tcPr>
          <w:p w14:paraId="3E23DB1C"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Vârsta peste 65 de ani</w:t>
            </w:r>
          </w:p>
        </w:tc>
        <w:tc>
          <w:tcPr>
            <w:tcW w:w="2358" w:type="dxa"/>
          </w:tcPr>
          <w:p w14:paraId="009996D2" w14:textId="77777777" w:rsidR="00610987" w:rsidRDefault="00610987" w:rsidP="002A6EAB">
            <w:pPr>
              <w:autoSpaceDE w:val="0"/>
              <w:autoSpaceDN w:val="0"/>
              <w:adjustRightInd w:val="0"/>
              <w:spacing w:after="200" w:line="360" w:lineRule="auto"/>
              <w:jc w:val="center"/>
              <w:rPr>
                <w:rFonts w:ascii="Times New Roman" w:eastAsia="Calibri" w:hAnsi="Times New Roman" w:cs="Times New Roman"/>
                <w:color w:val="231F20"/>
                <w:sz w:val="24"/>
                <w:szCs w:val="24"/>
                <w:lang w:val="ro-RO"/>
              </w:rPr>
            </w:pPr>
            <w:r>
              <w:rPr>
                <w:rFonts w:ascii="Times New Roman" w:eastAsia="Calibri" w:hAnsi="Times New Roman" w:cs="Times New Roman"/>
                <w:color w:val="231F20"/>
                <w:sz w:val="24"/>
                <w:szCs w:val="24"/>
                <w:lang w:val="ro-RO"/>
              </w:rPr>
              <w:t>1</w:t>
            </w:r>
          </w:p>
        </w:tc>
      </w:tr>
      <w:tr w:rsidR="00D23DD6" w14:paraId="23843099" w14:textId="77777777">
        <w:tc>
          <w:tcPr>
            <w:tcW w:w="6658" w:type="dxa"/>
          </w:tcPr>
          <w:p w14:paraId="4CB64F5A" w14:textId="77777777" w:rsidR="00D23DD6" w:rsidRDefault="00000000" w:rsidP="002A6EAB">
            <w:pPr>
              <w:jc w:val="center"/>
            </w:pPr>
            <w:r>
              <w:rPr>
                <w:rFonts w:ascii="Times New Roman" w:hAnsi="Times New Roman"/>
                <w:sz w:val="24"/>
              </w:rPr>
              <w:t>Absența manifestărilor ORL</w:t>
            </w:r>
          </w:p>
        </w:tc>
        <w:tc>
          <w:tcPr>
            <w:tcW w:w="2358" w:type="dxa"/>
          </w:tcPr>
          <w:p w14:paraId="090F1ACF" w14:textId="77777777" w:rsidR="00D23DD6" w:rsidRDefault="00000000" w:rsidP="002A6EAB">
            <w:pPr>
              <w:jc w:val="center"/>
            </w:pPr>
            <w:r>
              <w:rPr>
                <w:rFonts w:ascii="Times New Roman" w:hAnsi="Times New Roman"/>
                <w:sz w:val="24"/>
              </w:rPr>
              <w:t>1</w:t>
            </w:r>
          </w:p>
        </w:tc>
      </w:tr>
    </w:tbl>
    <w:p w14:paraId="2149164E" w14:textId="77777777" w:rsidR="00B60DB0" w:rsidRDefault="00B60DB0" w:rsidP="009E1AB4">
      <w:pPr>
        <w:spacing w:after="200" w:line="360" w:lineRule="auto"/>
        <w:jc w:val="both"/>
        <w:rPr>
          <w:rFonts w:ascii="Times New Roman" w:eastAsia="Calibri" w:hAnsi="Times New Roman" w:cs="Times New Roman"/>
          <w:sz w:val="24"/>
          <w:szCs w:val="24"/>
          <w:lang w:val="ro-RO"/>
        </w:rPr>
      </w:pPr>
    </w:p>
    <w:p w14:paraId="0BE97512" w14:textId="77777777" w:rsidR="009E1AB4" w:rsidRPr="00F133FC" w:rsidRDefault="009E1AB4" w:rsidP="009E1AB4">
      <w:pPr>
        <w:spacing w:after="200" w:line="360" w:lineRule="auto"/>
        <w:jc w:val="both"/>
        <w:rPr>
          <w:rFonts w:ascii="Times New Roman" w:eastAsia="Calibri" w:hAnsi="Times New Roman" w:cs="Times New Roman"/>
          <w:b/>
          <w:bCs/>
          <w:sz w:val="24"/>
          <w:szCs w:val="24"/>
          <w:lang w:val="ro-RO"/>
        </w:rPr>
      </w:pPr>
      <w:r w:rsidRPr="00F133FC">
        <w:rPr>
          <w:rFonts w:ascii="Times New Roman" w:eastAsia="Calibri" w:hAnsi="Times New Roman" w:cs="Times New Roman"/>
          <w:b/>
          <w:bCs/>
          <w:sz w:val="24"/>
          <w:szCs w:val="24"/>
          <w:lang w:val="ro-RO"/>
        </w:rPr>
        <w:t>Bibliografie</w:t>
      </w:r>
    </w:p>
    <w:p w14:paraId="163CF900" w14:textId="77777777" w:rsidR="00B60DB0" w:rsidRDefault="00B60DB0" w:rsidP="00B60DB0">
      <w:pPr>
        <w:pStyle w:val="NormalWeb"/>
        <w:numPr>
          <w:ilvl w:val="0"/>
          <w:numId w:val="29"/>
        </w:numPr>
        <w:jc w:val="both"/>
      </w:pPr>
      <w:r>
        <w:t>Jennette JC, Falk RJ, Bacon PA, Basu N, Cid MC, Ferrario F, et al. 2012 revised International Chapel Hill Consensus Conference Nomenclature of Vasculitides. Arthritis Rheum. 2013;65(1):1-11. doi:10.1002/art.37715.</w:t>
      </w:r>
    </w:p>
    <w:p w14:paraId="3C293716" w14:textId="77777777" w:rsidR="00B60DB0" w:rsidRDefault="00B60DB0" w:rsidP="00B60DB0">
      <w:pPr>
        <w:pStyle w:val="NormalWeb"/>
        <w:numPr>
          <w:ilvl w:val="0"/>
          <w:numId w:val="29"/>
        </w:numPr>
        <w:jc w:val="both"/>
      </w:pPr>
      <w:r>
        <w:t>Nilsen AT, Karlsen C, Bakland G, Watts R, Luqmani R, Koldingsnes W. Increasing incidence and prevalence of ANCA-associated vasculitis in Northern Norway. Rheumatology (Oxford). 2020;59(9):2316-2324. doi:10.1093/rheumatology/kez597.</w:t>
      </w:r>
    </w:p>
    <w:p w14:paraId="143328C7" w14:textId="77777777" w:rsidR="00B60DB0" w:rsidRDefault="00B60DB0" w:rsidP="00B60DB0">
      <w:pPr>
        <w:pStyle w:val="NormalWeb"/>
        <w:numPr>
          <w:ilvl w:val="0"/>
          <w:numId w:val="29"/>
        </w:numPr>
        <w:jc w:val="both"/>
      </w:pPr>
      <w:r>
        <w:t>Opriș-Belinski D. Vasculitele sistemice. In: Ionescu R, editor. Esențialul în reumatologie. 3rd ed. 2022. p. 259-270. ISBN:978-973-162-214-9.</w:t>
      </w:r>
    </w:p>
    <w:p w14:paraId="09B00F59" w14:textId="77777777" w:rsidR="00B60DB0" w:rsidRDefault="00B60DB0" w:rsidP="00B60DB0">
      <w:pPr>
        <w:pStyle w:val="NormalWeb"/>
        <w:numPr>
          <w:ilvl w:val="0"/>
          <w:numId w:val="29"/>
        </w:numPr>
        <w:jc w:val="both"/>
      </w:pPr>
      <w:r>
        <w:t>Chung SA, Langford CA, Maz M, Abril A, Gorelik M, Guyatt G, et al. 2021 American College of Rheumatology/Vasculitis Foundation Guideline for the Management of Antineutrophil Cytoplasmic Antibody-Associated Vasculitis. Arthritis Care Res (Hoboken). 2021;73(8):1088-1105. doi:10.1002/acr.24634.</w:t>
      </w:r>
    </w:p>
    <w:p w14:paraId="42496D86" w14:textId="77777777" w:rsidR="00B60DB0" w:rsidRDefault="00B60DB0" w:rsidP="00B60DB0">
      <w:pPr>
        <w:pStyle w:val="NormalWeb"/>
        <w:numPr>
          <w:ilvl w:val="0"/>
          <w:numId w:val="29"/>
        </w:numPr>
        <w:jc w:val="both"/>
      </w:pPr>
      <w:r>
        <w:lastRenderedPageBreak/>
        <w:t>Hellmich B, Agueda A, Monti S, Buttgereit F, de Boysson H, Brouwer E, et al. 2018 update of the EULAR recommendations for the management of large vessel vasculitis. Ann Rheum Dis. 2020;79(1):19-30. doi:10.1136/annrheumdis-2019-215672.</w:t>
      </w:r>
    </w:p>
    <w:p w14:paraId="15FB7D42" w14:textId="77777777" w:rsidR="00B60DB0" w:rsidRDefault="00B60DB0" w:rsidP="00B60DB0">
      <w:pPr>
        <w:pStyle w:val="NormalWeb"/>
        <w:numPr>
          <w:ilvl w:val="0"/>
          <w:numId w:val="29"/>
        </w:numPr>
        <w:jc w:val="both"/>
      </w:pPr>
      <w:r>
        <w:t>Opriș-Belinski D, Cobilinschi CO, Săulescu I. Current perspectives in giant cell arteritis: can we better connect pathogenesis and treatment? Medicina (Kaunas). 2024;60(3):400. doi:10.3390/medicina60030400.</w:t>
      </w:r>
    </w:p>
    <w:p w14:paraId="6C00FCB4" w14:textId="77777777" w:rsidR="00B60DB0" w:rsidRDefault="00B60DB0" w:rsidP="00B60DB0">
      <w:pPr>
        <w:pStyle w:val="NormalWeb"/>
        <w:numPr>
          <w:ilvl w:val="0"/>
          <w:numId w:val="29"/>
        </w:numPr>
        <w:jc w:val="both"/>
      </w:pPr>
      <w:r>
        <w:t>Serôdio JF, Trindade M, Favas C, Alves JD. Extra-cranial involvement in giant cell arteritis. In: Chaudhry IA, editor. Giant-Cell Arteritis. London: IntechOpen; 2021. doi:10.5772/intechopen.97715.</w:t>
      </w:r>
    </w:p>
    <w:p w14:paraId="7CEB7A46" w14:textId="77777777" w:rsidR="00B60DB0" w:rsidRDefault="00B60DB0" w:rsidP="00B60DB0">
      <w:pPr>
        <w:pStyle w:val="NormalWeb"/>
        <w:numPr>
          <w:ilvl w:val="0"/>
          <w:numId w:val="29"/>
        </w:numPr>
        <w:jc w:val="both"/>
      </w:pPr>
      <w:r>
        <w:t>Poudel P, Swe T, Williams M, Bonilla E. Fever as the sole presentation of giant cell arteritis: a near miss. J Investig Med High Impact Case Rep. 2019;7:2324709619850222. doi:10.1177/2324709619850222.</w:t>
      </w:r>
    </w:p>
    <w:p w14:paraId="70BEDD6B" w14:textId="77777777" w:rsidR="00B60DB0" w:rsidRDefault="00B60DB0" w:rsidP="00B60DB0">
      <w:pPr>
        <w:pStyle w:val="NormalWeb"/>
        <w:numPr>
          <w:ilvl w:val="0"/>
          <w:numId w:val="29"/>
        </w:numPr>
        <w:jc w:val="both"/>
      </w:pPr>
      <w:r>
        <w:rPr>
          <w:sz w:val="22"/>
        </w:rPr>
        <w:t>Dejaco C, Ramiro S, Bond M, Bosch P, Ponte C, Mackie SL, et al. EULAR recommendations for the use of imaging in large vessel vasculitis in clinical practice: 2023 update. Ann Rheum Dis. 2024;83(6):741-751. doi:10.1136/ard-2023-224543.</w:t>
      </w:r>
    </w:p>
    <w:p w14:paraId="654133CD" w14:textId="77777777" w:rsidR="00B60DB0" w:rsidRDefault="00B60DB0" w:rsidP="00B60DB0">
      <w:pPr>
        <w:pStyle w:val="NormalWeb"/>
        <w:numPr>
          <w:ilvl w:val="0"/>
          <w:numId w:val="29"/>
        </w:numPr>
        <w:jc w:val="both"/>
      </w:pPr>
      <w:r>
        <w:t>Hunder GG, Bloch DA, Michel BA, Stevens MB, Arend WP, Calabrese LH, et al. The American College of Rheumatology 1990 criteria for the classification of giant cell (temporal) arteritis. Arthritis Rheum. 1990;33(8):1122-1128. doi:10.1002/art.1780330810.</w:t>
      </w:r>
    </w:p>
    <w:p w14:paraId="116D28E6" w14:textId="77777777" w:rsidR="00B60DB0" w:rsidRDefault="00B60DB0" w:rsidP="00B60DB0">
      <w:pPr>
        <w:pStyle w:val="NormalWeb"/>
        <w:numPr>
          <w:ilvl w:val="0"/>
          <w:numId w:val="29"/>
        </w:numPr>
        <w:jc w:val="both"/>
      </w:pPr>
      <w:r>
        <w:t>Ponte C, Grayson PC, Robson JC, Suppiah R, Gribbons KB, Judge A, et al. 2022 American College of Rheumatology/EULAR Classification Criteria for Giant Cell Arteritis. Arthritis Rheumatol. 2022;74(12):1881-1889. doi:10.1002/art.42325.</w:t>
      </w:r>
    </w:p>
    <w:p w14:paraId="23C6C8D6" w14:textId="77777777" w:rsidR="00B60DB0" w:rsidRDefault="00B60DB0" w:rsidP="00B60DB0">
      <w:pPr>
        <w:pStyle w:val="NormalWeb"/>
        <w:numPr>
          <w:ilvl w:val="0"/>
          <w:numId w:val="29"/>
        </w:numPr>
        <w:jc w:val="both"/>
      </w:pPr>
      <w:r>
        <w:t>Dasgupta B, Borg FA, Hassan N, Barraclough K, Bourke B, Fulcher J, et al. BSR and BHPR guidelines for the management of giant cell arteritis. Rheumatology (Oxford). 2010;49(8):1594-1597. doi:10.1093/rheumatology/keq039a.</w:t>
      </w:r>
    </w:p>
    <w:p w14:paraId="1C1385F2" w14:textId="77777777" w:rsidR="00B60DB0" w:rsidRDefault="00B60DB0" w:rsidP="00B60DB0">
      <w:pPr>
        <w:pStyle w:val="NormalWeb"/>
        <w:numPr>
          <w:ilvl w:val="0"/>
          <w:numId w:val="29"/>
        </w:numPr>
        <w:jc w:val="both"/>
      </w:pPr>
      <w:r>
        <w:t>Broder MS, Sarsour K, Chang E, Collinson N, Tuckwell K, Napalkov P, et al. Corticosteroid-related adverse events in patients with giant cell arteritis: a claims-based analysis. Semin Arthritis Rheum. 2016;46(2):246-252. doi:10.1016/j.semarthrit.2016.05.009.</w:t>
      </w:r>
    </w:p>
    <w:p w14:paraId="34066457" w14:textId="77777777" w:rsidR="00B60DB0" w:rsidRDefault="00B60DB0" w:rsidP="00B60DB0">
      <w:pPr>
        <w:pStyle w:val="NormalWeb"/>
        <w:numPr>
          <w:ilvl w:val="0"/>
          <w:numId w:val="29"/>
        </w:numPr>
        <w:jc w:val="both"/>
      </w:pPr>
      <w:r>
        <w:t>Maz M, Chung SA, Abril A, Langford CA, Gorelik M, Guyatt G, et al. 2021 American College of Rheumatology/Vasculitis Foundation Guideline for the Management of Giant Cell Arteritis and Takayasu Arteritis. Arthritis Rheumatol. 2021;73(8):1349-1365. doi:10.1002/art.41774.</w:t>
      </w:r>
    </w:p>
    <w:p w14:paraId="7569809B" w14:textId="15A0253F" w:rsidR="00F73719" w:rsidRDefault="00F73719" w:rsidP="00F133FC">
      <w:pPr>
        <w:pStyle w:val="NormalWeb"/>
        <w:numPr>
          <w:ilvl w:val="0"/>
          <w:numId w:val="29"/>
        </w:numPr>
        <w:jc w:val="both"/>
      </w:pPr>
      <w:r>
        <w:t>Monitorul Oficial al României, Partea I. Protocol terapeutic corespunzător poziției nr. 45, cod (L04AC07-L04AF03): Arterita cu celule gigante – agenți biologici, DCI tocilizumabum și remisive sintetice țintite, DCI upadacitinibum. Monitorul Oficial al României, Partea I, nr. 354 bis. 2026 Apr 30.</w:t>
      </w:r>
    </w:p>
    <w:p w14:paraId="6B77A155" w14:textId="77777777" w:rsidR="00B60DB0" w:rsidRDefault="00B60DB0" w:rsidP="00B60DB0">
      <w:pPr>
        <w:pStyle w:val="NormalWeb"/>
        <w:numPr>
          <w:ilvl w:val="0"/>
          <w:numId w:val="29"/>
        </w:numPr>
        <w:jc w:val="both"/>
      </w:pPr>
      <w:r>
        <w:t>Sebastiani M, Manfredi A, Vacchi C, Gassone G, Faverio P, Cavazza A, et al. Epidemiology and management of interstitial lung disease in ANCA-associated vasculitis. Clin Exp Rheumatol. 2020;38 Suppl 124(2):221-231.</w:t>
      </w:r>
    </w:p>
    <w:p w14:paraId="677530CA" w14:textId="77777777" w:rsidR="00B60DB0" w:rsidRDefault="00B60DB0" w:rsidP="00B60DB0">
      <w:pPr>
        <w:pStyle w:val="NormalWeb"/>
        <w:numPr>
          <w:ilvl w:val="0"/>
          <w:numId w:val="29"/>
        </w:numPr>
        <w:jc w:val="both"/>
      </w:pPr>
      <w:r>
        <w:t>Robson JC, Grayson PC, Ponte C, Suppiah R, Craven A, Judge A, et al. 2022 American College of Rheumatology/European Alliance of Associations for Rheumatology Classification Criteria for Granulomatosis with Polyangiitis. Ann Rheum Dis. 2022;81(3):315-320. doi:10.1136/annrheumdis-2021-221795.</w:t>
      </w:r>
    </w:p>
    <w:p w14:paraId="15DD996A" w14:textId="77777777" w:rsidR="00B60DB0" w:rsidRDefault="00B60DB0" w:rsidP="00B60DB0">
      <w:pPr>
        <w:pStyle w:val="NormalWeb"/>
        <w:numPr>
          <w:ilvl w:val="0"/>
          <w:numId w:val="29"/>
        </w:numPr>
        <w:jc w:val="both"/>
      </w:pPr>
      <w:r>
        <w:t>Suppiah R, Robson JC, Grayson PC, Ponte C, Craven A, Khalid S, et al. 2022 American College of Rheumatology/European Alliance of Associations for Rheumatology Classification Criteria for Microscopic Polyangiitis. Ann Rheum Dis. 2022;81(3):321-326. doi:10.1136/annrheumdis-2021-221796.</w:t>
      </w:r>
    </w:p>
    <w:p w14:paraId="71533DCA" w14:textId="77777777" w:rsidR="00B60DB0" w:rsidRDefault="00B60DB0" w:rsidP="00B60DB0">
      <w:pPr>
        <w:pStyle w:val="NormalWeb"/>
        <w:numPr>
          <w:ilvl w:val="0"/>
          <w:numId w:val="29"/>
        </w:numPr>
        <w:jc w:val="both"/>
      </w:pPr>
      <w:r>
        <w:t xml:space="preserve">Grayson PC, Ponte C, Suppiah R, Robson JC, Craven A, Judge A, et al. 2022 American College of Rheumatology/European Alliance of Associations for Rheumatology </w:t>
      </w:r>
      <w:r>
        <w:lastRenderedPageBreak/>
        <w:t>Classification Criteria for Eosinophilic Granulomatosis with Polyangiitis. Ann Rheum Dis. 2022;81(3):309-314. doi:10.1136/annrheumdis-2021-221794.</w:t>
      </w:r>
    </w:p>
    <w:p w14:paraId="217656C3" w14:textId="77777777" w:rsidR="00B60DB0" w:rsidRDefault="00B60DB0" w:rsidP="00B60DB0">
      <w:pPr>
        <w:pStyle w:val="NormalWeb"/>
        <w:numPr>
          <w:ilvl w:val="0"/>
          <w:numId w:val="29"/>
        </w:numPr>
        <w:jc w:val="both"/>
      </w:pPr>
      <w:r>
        <w:t>Hellmich B, Sanchez-Alamo B, Schirmer JH, Berti A, Blockmans D, Cid MC, et al. EULAR recommendations for the management of ANCA-associated vasculitis: 2022 update. Ann Rheum Dis. 2024;83(1):30-47. doi:10.1136/ard-2022-223764.</w:t>
      </w:r>
    </w:p>
    <w:p w14:paraId="53EB2B5D" w14:textId="77777777" w:rsidR="00B60DB0" w:rsidRDefault="00B60DB0" w:rsidP="00B60DB0">
      <w:pPr>
        <w:pStyle w:val="NormalWeb"/>
        <w:numPr>
          <w:ilvl w:val="0"/>
          <w:numId w:val="29"/>
        </w:numPr>
        <w:jc w:val="both"/>
      </w:pPr>
      <w:r>
        <w:t>Walsh M, Merkel PA, Peh CA, Szpirt WM, Puéchal X, Fujimoto S, et al. Plasma exchange and glucocorticoids in severe ANCA-associated vasculitis. N Engl J Med. 2020;382(7):622-631. doi:10.1056/NEJMoa1803537.</w:t>
      </w:r>
    </w:p>
    <w:p w14:paraId="7FEB7549" w14:textId="77777777" w:rsidR="00B60DB0" w:rsidRDefault="00B60DB0" w:rsidP="00B60DB0">
      <w:pPr>
        <w:pStyle w:val="NormalWeb"/>
        <w:numPr>
          <w:ilvl w:val="0"/>
          <w:numId w:val="29"/>
        </w:numPr>
        <w:jc w:val="both"/>
      </w:pPr>
      <w:r>
        <w:t>Stone JH, Merkel PA, Spiera R, Seo P, Langford CA, Hoffman GS, et al. Rituximab versus cyclophosphamide for ANCA-associated vasculitis. N Engl J Med. 2010;363(3):221-232. doi:10.1056/NEJMoa0909905.</w:t>
      </w:r>
    </w:p>
    <w:p w14:paraId="1125CF04" w14:textId="77777777" w:rsidR="00C7365C" w:rsidRDefault="00B60DB0" w:rsidP="00C7365C">
      <w:pPr>
        <w:pStyle w:val="NormalWeb"/>
        <w:numPr>
          <w:ilvl w:val="0"/>
          <w:numId w:val="29"/>
        </w:numPr>
        <w:jc w:val="both"/>
      </w:pPr>
      <w:r>
        <w:t>Monitorul Oficial al României, Partea I. Protocol terapeutic corespunzător poziției nr. 31, cod (L01XC-L04AJ): Vasculite ANCA pozitive – DCI rituximabum (original și biosimilar) și DCI avacopan. Monitorul Oficial al României, Partea I, nr. 358 bis. 2026 Apr 30:428-443.</w:t>
      </w:r>
    </w:p>
    <w:p w14:paraId="056C1181" w14:textId="719E85E8" w:rsidR="00C7365C" w:rsidRPr="00C7365C" w:rsidRDefault="00610987" w:rsidP="00C7365C">
      <w:pPr>
        <w:pStyle w:val="NormalWeb"/>
        <w:numPr>
          <w:ilvl w:val="0"/>
          <w:numId w:val="29"/>
        </w:numPr>
        <w:jc w:val="both"/>
      </w:pPr>
      <w:r>
        <w:t xml:space="preserve">Opriș-Belinski D. </w:t>
      </w:r>
      <w:r w:rsidR="00C7365C">
        <w:t>„</w:t>
      </w:r>
      <w:r>
        <w:t>Vasculitele sistemice</w:t>
      </w:r>
      <w:r w:rsidR="00C7365C">
        <w:t>”</w:t>
      </w:r>
      <w:r>
        <w:t xml:space="preserve"> în Diaconu CC editor, </w:t>
      </w:r>
      <w:r w:rsidR="00C7365C">
        <w:t>„</w:t>
      </w:r>
      <w:r>
        <w:t>Tratat de medicină internă</w:t>
      </w:r>
      <w:r w:rsidR="00C7365C">
        <w:t>”</w:t>
      </w:r>
      <w:r w:rsidR="007E28D7">
        <w:t>, București, Editura A</w:t>
      </w:r>
      <w:r w:rsidR="002A6EAB">
        <w:t>LL</w:t>
      </w:r>
      <w:r w:rsidR="007E28D7">
        <w:t>, 2024. p. 1011-1040</w:t>
      </w:r>
      <w:r w:rsidR="00C7365C">
        <w:t xml:space="preserve">. ISBN </w:t>
      </w:r>
      <w:r w:rsidR="00C7365C" w:rsidRPr="00C7365C">
        <w:t>978-606-587-623-1.</w:t>
      </w:r>
    </w:p>
    <w:p w14:paraId="0DC3BA19" w14:textId="1DE836D7" w:rsidR="00610987" w:rsidRDefault="00610987" w:rsidP="00C7365C">
      <w:pPr>
        <w:pStyle w:val="NormalWeb"/>
        <w:jc w:val="both"/>
      </w:pPr>
    </w:p>
    <w:p w14:paraId="28C718DD" w14:textId="77777777" w:rsidR="00B60DB0" w:rsidRPr="009E1AB4" w:rsidRDefault="00B60DB0" w:rsidP="00B60DB0">
      <w:pPr>
        <w:spacing w:after="200" w:line="360" w:lineRule="auto"/>
        <w:jc w:val="both"/>
        <w:rPr>
          <w:rFonts w:ascii="Times New Roman" w:eastAsia="Calibri" w:hAnsi="Times New Roman" w:cs="Times New Roman"/>
          <w:sz w:val="24"/>
          <w:szCs w:val="24"/>
          <w:lang w:val="ro-RO"/>
        </w:rPr>
      </w:pPr>
    </w:p>
    <w:p w14:paraId="7911B092" w14:textId="77777777" w:rsidR="009E1AB4" w:rsidRPr="009E1AB4" w:rsidRDefault="009E1AB4" w:rsidP="009E1AB4">
      <w:pPr>
        <w:spacing w:after="200" w:line="360" w:lineRule="auto"/>
        <w:jc w:val="both"/>
        <w:rPr>
          <w:rFonts w:ascii="Times New Roman" w:eastAsia="Calibri" w:hAnsi="Times New Roman" w:cs="Times New Roman"/>
          <w:sz w:val="24"/>
          <w:szCs w:val="24"/>
          <w:lang w:val="ro-RO"/>
        </w:rPr>
      </w:pPr>
    </w:p>
    <w:p w14:paraId="36AFCC86" w14:textId="77777777" w:rsidR="004E1C90" w:rsidRPr="003B50EA" w:rsidRDefault="004E1C90" w:rsidP="00B24E29">
      <w:pPr>
        <w:spacing w:after="200" w:line="360" w:lineRule="auto"/>
        <w:ind w:firstLine="720"/>
        <w:jc w:val="both"/>
        <w:rPr>
          <w:rFonts w:ascii="Times New Roman" w:eastAsia="Calibri" w:hAnsi="Times New Roman" w:cs="Times New Roman"/>
          <w:sz w:val="24"/>
          <w:szCs w:val="24"/>
          <w:lang w:val="ro-RO"/>
        </w:rPr>
      </w:pPr>
    </w:p>
    <w:p w14:paraId="1145F159" w14:textId="77777777" w:rsidR="00DF50A2" w:rsidRPr="003B50EA" w:rsidRDefault="00DF50A2" w:rsidP="008D3AFB">
      <w:pPr>
        <w:spacing w:after="200" w:line="360" w:lineRule="auto"/>
        <w:ind w:firstLine="720"/>
        <w:jc w:val="both"/>
        <w:rPr>
          <w:rFonts w:ascii="Times New Roman" w:eastAsia="Calibri" w:hAnsi="Times New Roman" w:cs="Times New Roman"/>
          <w:sz w:val="24"/>
          <w:szCs w:val="24"/>
          <w:lang w:val="ro-RO"/>
        </w:rPr>
      </w:pPr>
    </w:p>
    <w:sectPr w:rsidR="00DF50A2" w:rsidRPr="003B5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211AA"/>
    <w:multiLevelType w:val="hybridMultilevel"/>
    <w:tmpl w:val="E836F860"/>
    <w:lvl w:ilvl="0" w:tplc="0809000B">
      <w:start w:val="1"/>
      <w:numFmt w:val="bullet"/>
      <w:lvlText w:val=""/>
      <w:lvlJc w:val="left"/>
      <w:pPr>
        <w:ind w:left="780" w:hanging="360"/>
      </w:pPr>
      <w:rPr>
        <w:rFonts w:ascii="Wingdings" w:hAnsi="Wingdings"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15:restartNumberingAfterBreak="0">
    <w:nsid w:val="010E1469"/>
    <w:multiLevelType w:val="hybridMultilevel"/>
    <w:tmpl w:val="D1066468"/>
    <w:lvl w:ilvl="0" w:tplc="FFFFFFFF">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FFFFFFFF">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 w15:restartNumberingAfterBreak="0">
    <w:nsid w:val="0260514D"/>
    <w:multiLevelType w:val="hybridMultilevel"/>
    <w:tmpl w:val="9634E6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D244E38"/>
    <w:multiLevelType w:val="hybridMultilevel"/>
    <w:tmpl w:val="FD62405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0DCD25DA"/>
    <w:multiLevelType w:val="multilevel"/>
    <w:tmpl w:val="85AE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0457E"/>
    <w:multiLevelType w:val="hybridMultilevel"/>
    <w:tmpl w:val="B3788C74"/>
    <w:lvl w:ilvl="0" w:tplc="E7E87152">
      <w:start w:val="9"/>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A6AB7"/>
    <w:multiLevelType w:val="hybridMultilevel"/>
    <w:tmpl w:val="56A2DF70"/>
    <w:lvl w:ilvl="0" w:tplc="8A9C232A">
      <w:start w:val="1"/>
      <w:numFmt w:val="decimal"/>
      <w:lvlText w:val="%1."/>
      <w:lvlJc w:val="left"/>
      <w:pPr>
        <w:ind w:left="600" w:hanging="300"/>
      </w:pPr>
    </w:lvl>
    <w:lvl w:ilvl="1" w:tplc="710414DE">
      <w:numFmt w:val="decimal"/>
      <w:lvlText w:val=""/>
      <w:lvlJc w:val="left"/>
    </w:lvl>
    <w:lvl w:ilvl="2" w:tplc="0F883656">
      <w:numFmt w:val="decimal"/>
      <w:lvlText w:val=""/>
      <w:lvlJc w:val="left"/>
    </w:lvl>
    <w:lvl w:ilvl="3" w:tplc="143206DE">
      <w:numFmt w:val="decimal"/>
      <w:lvlText w:val=""/>
      <w:lvlJc w:val="left"/>
    </w:lvl>
    <w:lvl w:ilvl="4" w:tplc="F202D2D2">
      <w:numFmt w:val="decimal"/>
      <w:lvlText w:val=""/>
      <w:lvlJc w:val="left"/>
    </w:lvl>
    <w:lvl w:ilvl="5" w:tplc="6E2C1812">
      <w:numFmt w:val="decimal"/>
      <w:lvlText w:val=""/>
      <w:lvlJc w:val="left"/>
    </w:lvl>
    <w:lvl w:ilvl="6" w:tplc="A9B4E7AA">
      <w:numFmt w:val="decimal"/>
      <w:lvlText w:val=""/>
      <w:lvlJc w:val="left"/>
    </w:lvl>
    <w:lvl w:ilvl="7" w:tplc="27CE5C66">
      <w:numFmt w:val="decimal"/>
      <w:lvlText w:val=""/>
      <w:lvlJc w:val="left"/>
    </w:lvl>
    <w:lvl w:ilvl="8" w:tplc="4E38438E">
      <w:numFmt w:val="decimal"/>
      <w:lvlText w:val=""/>
      <w:lvlJc w:val="left"/>
    </w:lvl>
  </w:abstractNum>
  <w:abstractNum w:abstractNumId="7" w15:restartNumberingAfterBreak="0">
    <w:nsid w:val="1B4C794B"/>
    <w:multiLevelType w:val="hybridMultilevel"/>
    <w:tmpl w:val="28A0D9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EBA75BF"/>
    <w:multiLevelType w:val="hybridMultilevel"/>
    <w:tmpl w:val="D99E396A"/>
    <w:lvl w:ilvl="0" w:tplc="0E32D9B0">
      <w:start w:val="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34F57"/>
    <w:multiLevelType w:val="hybridMultilevel"/>
    <w:tmpl w:val="0FE2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B3C7D"/>
    <w:multiLevelType w:val="hybridMultilevel"/>
    <w:tmpl w:val="A580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27BA1"/>
    <w:multiLevelType w:val="multilevel"/>
    <w:tmpl w:val="24007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544868"/>
    <w:multiLevelType w:val="hybridMultilevel"/>
    <w:tmpl w:val="01A439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8CD45D8"/>
    <w:multiLevelType w:val="multilevel"/>
    <w:tmpl w:val="667E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04381"/>
    <w:multiLevelType w:val="hybridMultilevel"/>
    <w:tmpl w:val="A20C578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CDC034D"/>
    <w:multiLevelType w:val="multilevel"/>
    <w:tmpl w:val="C45A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879DA"/>
    <w:multiLevelType w:val="multilevel"/>
    <w:tmpl w:val="EB9A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07220E"/>
    <w:multiLevelType w:val="hybridMultilevel"/>
    <w:tmpl w:val="619AC7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C10A8B"/>
    <w:multiLevelType w:val="hybridMultilevel"/>
    <w:tmpl w:val="2F7E73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C123F"/>
    <w:multiLevelType w:val="hybridMultilevel"/>
    <w:tmpl w:val="E0C0A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E209D3"/>
    <w:multiLevelType w:val="hybridMultilevel"/>
    <w:tmpl w:val="2FB6C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9920080"/>
    <w:multiLevelType w:val="hybridMultilevel"/>
    <w:tmpl w:val="C8D65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982230"/>
    <w:multiLevelType w:val="hybridMultilevel"/>
    <w:tmpl w:val="9C64169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2D5609E"/>
    <w:multiLevelType w:val="hybridMultilevel"/>
    <w:tmpl w:val="48F06B9A"/>
    <w:lvl w:ilvl="0" w:tplc="0809000B">
      <w:start w:val="1"/>
      <w:numFmt w:val="bullet"/>
      <w:lvlText w:val=""/>
      <w:lvlJc w:val="left"/>
      <w:pPr>
        <w:ind w:left="780" w:hanging="360"/>
      </w:pPr>
      <w:rPr>
        <w:rFonts w:ascii="Wingdings" w:hAnsi="Wingdings"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4" w15:restartNumberingAfterBreak="0">
    <w:nsid w:val="6D22790C"/>
    <w:multiLevelType w:val="hybridMultilevel"/>
    <w:tmpl w:val="1C543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063B69"/>
    <w:multiLevelType w:val="multilevel"/>
    <w:tmpl w:val="BCFC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326171"/>
    <w:multiLevelType w:val="multilevel"/>
    <w:tmpl w:val="06B0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A9428F"/>
    <w:multiLevelType w:val="hybridMultilevel"/>
    <w:tmpl w:val="792E4E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C20EB9"/>
    <w:multiLevelType w:val="hybridMultilevel"/>
    <w:tmpl w:val="0E02AEC0"/>
    <w:lvl w:ilvl="0" w:tplc="741E1A8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337A36"/>
    <w:multiLevelType w:val="multilevel"/>
    <w:tmpl w:val="7DF8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014593">
    <w:abstractNumId w:val="8"/>
  </w:num>
  <w:num w:numId="2" w16cid:durableId="1230381188">
    <w:abstractNumId w:val="24"/>
  </w:num>
  <w:num w:numId="3" w16cid:durableId="1339309629">
    <w:abstractNumId w:val="10"/>
  </w:num>
  <w:num w:numId="4" w16cid:durableId="255330970">
    <w:abstractNumId w:val="9"/>
  </w:num>
  <w:num w:numId="5" w16cid:durableId="89544028">
    <w:abstractNumId w:val="19"/>
  </w:num>
  <w:num w:numId="6" w16cid:durableId="1110783386">
    <w:abstractNumId w:val="7"/>
  </w:num>
  <w:num w:numId="7" w16cid:durableId="1884907135">
    <w:abstractNumId w:val="5"/>
  </w:num>
  <w:num w:numId="8" w16cid:durableId="2087217904">
    <w:abstractNumId w:val="18"/>
  </w:num>
  <w:num w:numId="9" w16cid:durableId="450172722">
    <w:abstractNumId w:val="2"/>
  </w:num>
  <w:num w:numId="10" w16cid:durableId="1437746536">
    <w:abstractNumId w:val="22"/>
  </w:num>
  <w:num w:numId="11" w16cid:durableId="1665282398">
    <w:abstractNumId w:val="12"/>
  </w:num>
  <w:num w:numId="12" w16cid:durableId="1887443964">
    <w:abstractNumId w:val="21"/>
  </w:num>
  <w:num w:numId="13" w16cid:durableId="1872108592">
    <w:abstractNumId w:val="3"/>
  </w:num>
  <w:num w:numId="14" w16cid:durableId="1103768854">
    <w:abstractNumId w:val="1"/>
  </w:num>
  <w:num w:numId="15" w16cid:durableId="1494762005">
    <w:abstractNumId w:val="23"/>
  </w:num>
  <w:num w:numId="16" w16cid:durableId="1873611416">
    <w:abstractNumId w:val="14"/>
  </w:num>
  <w:num w:numId="17" w16cid:durableId="1832135508">
    <w:abstractNumId w:val="27"/>
  </w:num>
  <w:num w:numId="18" w16cid:durableId="1341931045">
    <w:abstractNumId w:val="20"/>
  </w:num>
  <w:num w:numId="19" w16cid:durableId="1369993870">
    <w:abstractNumId w:val="0"/>
  </w:num>
  <w:num w:numId="20" w16cid:durableId="1110974067">
    <w:abstractNumId w:val="17"/>
  </w:num>
  <w:num w:numId="21" w16cid:durableId="929659114">
    <w:abstractNumId w:val="28"/>
  </w:num>
  <w:num w:numId="22" w16cid:durableId="2040471646">
    <w:abstractNumId w:val="13"/>
  </w:num>
  <w:num w:numId="23" w16cid:durableId="253636620">
    <w:abstractNumId w:val="26"/>
  </w:num>
  <w:num w:numId="24" w16cid:durableId="1403019455">
    <w:abstractNumId w:val="25"/>
  </w:num>
  <w:num w:numId="25" w16cid:durableId="458035491">
    <w:abstractNumId w:val="16"/>
  </w:num>
  <w:num w:numId="26" w16cid:durableId="824663062">
    <w:abstractNumId w:val="4"/>
  </w:num>
  <w:num w:numId="27" w16cid:durableId="1651861051">
    <w:abstractNumId w:val="29"/>
  </w:num>
  <w:num w:numId="28" w16cid:durableId="1119909089">
    <w:abstractNumId w:val="15"/>
  </w:num>
  <w:num w:numId="29" w16cid:durableId="1743065340">
    <w:abstractNumId w:val="11"/>
  </w:num>
  <w:num w:numId="30" w16cid:durableId="1212766064">
    <w:abstractNumId w:val="6"/>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48"/>
    <w:rsid w:val="000000B0"/>
    <w:rsid w:val="000012EC"/>
    <w:rsid w:val="000018E4"/>
    <w:rsid w:val="00001AA2"/>
    <w:rsid w:val="00002BDB"/>
    <w:rsid w:val="00003946"/>
    <w:rsid w:val="000068D5"/>
    <w:rsid w:val="00010ECA"/>
    <w:rsid w:val="00011462"/>
    <w:rsid w:val="000114F4"/>
    <w:rsid w:val="000125EB"/>
    <w:rsid w:val="00013A37"/>
    <w:rsid w:val="000142AE"/>
    <w:rsid w:val="00014B19"/>
    <w:rsid w:val="00016241"/>
    <w:rsid w:val="00021CD2"/>
    <w:rsid w:val="00021F5E"/>
    <w:rsid w:val="0002288A"/>
    <w:rsid w:val="00023A14"/>
    <w:rsid w:val="00023B58"/>
    <w:rsid w:val="0002481D"/>
    <w:rsid w:val="000264AD"/>
    <w:rsid w:val="0002661B"/>
    <w:rsid w:val="00027380"/>
    <w:rsid w:val="00027FCE"/>
    <w:rsid w:val="00030039"/>
    <w:rsid w:val="00030ACE"/>
    <w:rsid w:val="00030BF6"/>
    <w:rsid w:val="0003101E"/>
    <w:rsid w:val="000324EA"/>
    <w:rsid w:val="00032D63"/>
    <w:rsid w:val="0003324C"/>
    <w:rsid w:val="00034AD8"/>
    <w:rsid w:val="000366A3"/>
    <w:rsid w:val="00036A41"/>
    <w:rsid w:val="00037CAC"/>
    <w:rsid w:val="0004151E"/>
    <w:rsid w:val="00041ADE"/>
    <w:rsid w:val="0004220B"/>
    <w:rsid w:val="000423AA"/>
    <w:rsid w:val="00042586"/>
    <w:rsid w:val="000455AE"/>
    <w:rsid w:val="000455FB"/>
    <w:rsid w:val="000467D4"/>
    <w:rsid w:val="00047A48"/>
    <w:rsid w:val="00047E57"/>
    <w:rsid w:val="000500F2"/>
    <w:rsid w:val="00051221"/>
    <w:rsid w:val="00052449"/>
    <w:rsid w:val="000547A1"/>
    <w:rsid w:val="00055ADA"/>
    <w:rsid w:val="000620EF"/>
    <w:rsid w:val="00062FE6"/>
    <w:rsid w:val="000639BE"/>
    <w:rsid w:val="000641EF"/>
    <w:rsid w:val="0006473A"/>
    <w:rsid w:val="00064A7B"/>
    <w:rsid w:val="00065285"/>
    <w:rsid w:val="000656A4"/>
    <w:rsid w:val="000658F9"/>
    <w:rsid w:val="00065E31"/>
    <w:rsid w:val="0006605E"/>
    <w:rsid w:val="00066D81"/>
    <w:rsid w:val="00066E9B"/>
    <w:rsid w:val="00071E6A"/>
    <w:rsid w:val="000723BD"/>
    <w:rsid w:val="000730D2"/>
    <w:rsid w:val="0007415D"/>
    <w:rsid w:val="0007591B"/>
    <w:rsid w:val="000760F0"/>
    <w:rsid w:val="0008011D"/>
    <w:rsid w:val="00084A0C"/>
    <w:rsid w:val="00084EEF"/>
    <w:rsid w:val="00085147"/>
    <w:rsid w:val="0008538E"/>
    <w:rsid w:val="00085804"/>
    <w:rsid w:val="00085C83"/>
    <w:rsid w:val="00085F4F"/>
    <w:rsid w:val="0008785B"/>
    <w:rsid w:val="00087A66"/>
    <w:rsid w:val="00090770"/>
    <w:rsid w:val="0009101F"/>
    <w:rsid w:val="000911DA"/>
    <w:rsid w:val="00091D13"/>
    <w:rsid w:val="0009234C"/>
    <w:rsid w:val="000955C4"/>
    <w:rsid w:val="00095DAC"/>
    <w:rsid w:val="000969FA"/>
    <w:rsid w:val="0009760C"/>
    <w:rsid w:val="000A052F"/>
    <w:rsid w:val="000A21A5"/>
    <w:rsid w:val="000A2C9D"/>
    <w:rsid w:val="000A352C"/>
    <w:rsid w:val="000A35A1"/>
    <w:rsid w:val="000A4182"/>
    <w:rsid w:val="000A5B49"/>
    <w:rsid w:val="000A5E8D"/>
    <w:rsid w:val="000A5F6A"/>
    <w:rsid w:val="000A64C5"/>
    <w:rsid w:val="000A792E"/>
    <w:rsid w:val="000B01B8"/>
    <w:rsid w:val="000B06FA"/>
    <w:rsid w:val="000B0C1B"/>
    <w:rsid w:val="000B0D5B"/>
    <w:rsid w:val="000B201A"/>
    <w:rsid w:val="000B21BF"/>
    <w:rsid w:val="000B6192"/>
    <w:rsid w:val="000B7070"/>
    <w:rsid w:val="000B7204"/>
    <w:rsid w:val="000B7C57"/>
    <w:rsid w:val="000C02CB"/>
    <w:rsid w:val="000C081C"/>
    <w:rsid w:val="000C302D"/>
    <w:rsid w:val="000C3459"/>
    <w:rsid w:val="000C36E9"/>
    <w:rsid w:val="000C58D4"/>
    <w:rsid w:val="000C5982"/>
    <w:rsid w:val="000C71AF"/>
    <w:rsid w:val="000C73FE"/>
    <w:rsid w:val="000C758C"/>
    <w:rsid w:val="000D0AEC"/>
    <w:rsid w:val="000D153A"/>
    <w:rsid w:val="000D16FD"/>
    <w:rsid w:val="000D2D89"/>
    <w:rsid w:val="000D2E68"/>
    <w:rsid w:val="000D3E06"/>
    <w:rsid w:val="000D5314"/>
    <w:rsid w:val="000D58D7"/>
    <w:rsid w:val="000D66DC"/>
    <w:rsid w:val="000D752C"/>
    <w:rsid w:val="000E0388"/>
    <w:rsid w:val="000E1B52"/>
    <w:rsid w:val="000E3342"/>
    <w:rsid w:val="000E51F7"/>
    <w:rsid w:val="000E5F7B"/>
    <w:rsid w:val="000E6A97"/>
    <w:rsid w:val="000F09D1"/>
    <w:rsid w:val="000F2A61"/>
    <w:rsid w:val="000F3823"/>
    <w:rsid w:val="000F3B73"/>
    <w:rsid w:val="000F458F"/>
    <w:rsid w:val="000F4B12"/>
    <w:rsid w:val="000F65CC"/>
    <w:rsid w:val="000F67C7"/>
    <w:rsid w:val="000F72A1"/>
    <w:rsid w:val="000F7616"/>
    <w:rsid w:val="00100328"/>
    <w:rsid w:val="001004E4"/>
    <w:rsid w:val="00100A8E"/>
    <w:rsid w:val="00100F96"/>
    <w:rsid w:val="001018A0"/>
    <w:rsid w:val="00102FE7"/>
    <w:rsid w:val="00103436"/>
    <w:rsid w:val="001041E4"/>
    <w:rsid w:val="00104CDD"/>
    <w:rsid w:val="0010566A"/>
    <w:rsid w:val="001122E5"/>
    <w:rsid w:val="001127A0"/>
    <w:rsid w:val="00113AA8"/>
    <w:rsid w:val="00114C40"/>
    <w:rsid w:val="0011654B"/>
    <w:rsid w:val="001201C3"/>
    <w:rsid w:val="0012217D"/>
    <w:rsid w:val="00122417"/>
    <w:rsid w:val="0012264A"/>
    <w:rsid w:val="00122D56"/>
    <w:rsid w:val="00123610"/>
    <w:rsid w:val="00123973"/>
    <w:rsid w:val="00124D2E"/>
    <w:rsid w:val="00125D5C"/>
    <w:rsid w:val="00126A02"/>
    <w:rsid w:val="00126B61"/>
    <w:rsid w:val="0013149D"/>
    <w:rsid w:val="00131B88"/>
    <w:rsid w:val="001322E4"/>
    <w:rsid w:val="00132607"/>
    <w:rsid w:val="001332AF"/>
    <w:rsid w:val="00133B1B"/>
    <w:rsid w:val="00133CDD"/>
    <w:rsid w:val="0013460F"/>
    <w:rsid w:val="00134D81"/>
    <w:rsid w:val="0013599D"/>
    <w:rsid w:val="00136D40"/>
    <w:rsid w:val="001375BD"/>
    <w:rsid w:val="00137E82"/>
    <w:rsid w:val="0014017E"/>
    <w:rsid w:val="001402F9"/>
    <w:rsid w:val="00140651"/>
    <w:rsid w:val="0014194E"/>
    <w:rsid w:val="00143FC8"/>
    <w:rsid w:val="001445F7"/>
    <w:rsid w:val="0014477F"/>
    <w:rsid w:val="00146306"/>
    <w:rsid w:val="001467BD"/>
    <w:rsid w:val="00147CAD"/>
    <w:rsid w:val="001510C5"/>
    <w:rsid w:val="0015136F"/>
    <w:rsid w:val="0015164C"/>
    <w:rsid w:val="00151C0A"/>
    <w:rsid w:val="00151C57"/>
    <w:rsid w:val="00151CE1"/>
    <w:rsid w:val="00151F7A"/>
    <w:rsid w:val="00154469"/>
    <w:rsid w:val="001569B1"/>
    <w:rsid w:val="00157F69"/>
    <w:rsid w:val="00160365"/>
    <w:rsid w:val="001607FB"/>
    <w:rsid w:val="00160BD7"/>
    <w:rsid w:val="00160E40"/>
    <w:rsid w:val="00161FBD"/>
    <w:rsid w:val="0016238F"/>
    <w:rsid w:val="00162A1C"/>
    <w:rsid w:val="0016372E"/>
    <w:rsid w:val="00172225"/>
    <w:rsid w:val="00172D30"/>
    <w:rsid w:val="00174485"/>
    <w:rsid w:val="001747DE"/>
    <w:rsid w:val="001758F6"/>
    <w:rsid w:val="001761BD"/>
    <w:rsid w:val="00176842"/>
    <w:rsid w:val="00176C94"/>
    <w:rsid w:val="00180E36"/>
    <w:rsid w:val="00181923"/>
    <w:rsid w:val="001831E9"/>
    <w:rsid w:val="001835B3"/>
    <w:rsid w:val="00185F71"/>
    <w:rsid w:val="00186601"/>
    <w:rsid w:val="0018746E"/>
    <w:rsid w:val="00190E41"/>
    <w:rsid w:val="00190F99"/>
    <w:rsid w:val="001917EA"/>
    <w:rsid w:val="0019272B"/>
    <w:rsid w:val="001935D0"/>
    <w:rsid w:val="00194874"/>
    <w:rsid w:val="00196E6B"/>
    <w:rsid w:val="001A0708"/>
    <w:rsid w:val="001A2E56"/>
    <w:rsid w:val="001A3B70"/>
    <w:rsid w:val="001A4B6C"/>
    <w:rsid w:val="001A5744"/>
    <w:rsid w:val="001A6731"/>
    <w:rsid w:val="001A73F9"/>
    <w:rsid w:val="001B0647"/>
    <w:rsid w:val="001B076E"/>
    <w:rsid w:val="001B1869"/>
    <w:rsid w:val="001B201B"/>
    <w:rsid w:val="001B3581"/>
    <w:rsid w:val="001B3760"/>
    <w:rsid w:val="001B49B9"/>
    <w:rsid w:val="001B4DAC"/>
    <w:rsid w:val="001B72F5"/>
    <w:rsid w:val="001B7EE9"/>
    <w:rsid w:val="001C0041"/>
    <w:rsid w:val="001C4CDC"/>
    <w:rsid w:val="001C4FEB"/>
    <w:rsid w:val="001C7D8D"/>
    <w:rsid w:val="001D0119"/>
    <w:rsid w:val="001D1313"/>
    <w:rsid w:val="001D15FB"/>
    <w:rsid w:val="001D3820"/>
    <w:rsid w:val="001D3B42"/>
    <w:rsid w:val="001D4BD7"/>
    <w:rsid w:val="001D75E8"/>
    <w:rsid w:val="001E0928"/>
    <w:rsid w:val="001E0E01"/>
    <w:rsid w:val="001E1BA8"/>
    <w:rsid w:val="001E2911"/>
    <w:rsid w:val="001E5580"/>
    <w:rsid w:val="001E6F8E"/>
    <w:rsid w:val="001E7881"/>
    <w:rsid w:val="001F042F"/>
    <w:rsid w:val="001F0FE9"/>
    <w:rsid w:val="001F17D7"/>
    <w:rsid w:val="001F2C05"/>
    <w:rsid w:val="001F3E57"/>
    <w:rsid w:val="001F417B"/>
    <w:rsid w:val="001F4755"/>
    <w:rsid w:val="001F554F"/>
    <w:rsid w:val="001F618D"/>
    <w:rsid w:val="001F63F0"/>
    <w:rsid w:val="001F6E70"/>
    <w:rsid w:val="00201961"/>
    <w:rsid w:val="00203A60"/>
    <w:rsid w:val="00204707"/>
    <w:rsid w:val="00204D3A"/>
    <w:rsid w:val="0020722F"/>
    <w:rsid w:val="002106C3"/>
    <w:rsid w:val="00211809"/>
    <w:rsid w:val="0021182B"/>
    <w:rsid w:val="00211F98"/>
    <w:rsid w:val="002128E4"/>
    <w:rsid w:val="002133CE"/>
    <w:rsid w:val="00213677"/>
    <w:rsid w:val="00214406"/>
    <w:rsid w:val="0021445A"/>
    <w:rsid w:val="002144B3"/>
    <w:rsid w:val="0021575E"/>
    <w:rsid w:val="00215D4D"/>
    <w:rsid w:val="0021665D"/>
    <w:rsid w:val="002171D7"/>
    <w:rsid w:val="00220D23"/>
    <w:rsid w:val="00221C53"/>
    <w:rsid w:val="0022228B"/>
    <w:rsid w:val="00223849"/>
    <w:rsid w:val="00223903"/>
    <w:rsid w:val="0022446F"/>
    <w:rsid w:val="00226DE6"/>
    <w:rsid w:val="00227347"/>
    <w:rsid w:val="00227791"/>
    <w:rsid w:val="00227BE9"/>
    <w:rsid w:val="00230305"/>
    <w:rsid w:val="00233253"/>
    <w:rsid w:val="0023340B"/>
    <w:rsid w:val="00235DB3"/>
    <w:rsid w:val="00240D6B"/>
    <w:rsid w:val="00243E81"/>
    <w:rsid w:val="00245977"/>
    <w:rsid w:val="002471B5"/>
    <w:rsid w:val="00247FD2"/>
    <w:rsid w:val="00251372"/>
    <w:rsid w:val="00252908"/>
    <w:rsid w:val="00253615"/>
    <w:rsid w:val="00254E04"/>
    <w:rsid w:val="00255EB4"/>
    <w:rsid w:val="00255F04"/>
    <w:rsid w:val="00256A80"/>
    <w:rsid w:val="00260B5B"/>
    <w:rsid w:val="002625E5"/>
    <w:rsid w:val="00263867"/>
    <w:rsid w:val="00263B41"/>
    <w:rsid w:val="002643D0"/>
    <w:rsid w:val="002652C1"/>
    <w:rsid w:val="00266678"/>
    <w:rsid w:val="00267AD7"/>
    <w:rsid w:val="00270299"/>
    <w:rsid w:val="00271385"/>
    <w:rsid w:val="00272794"/>
    <w:rsid w:val="0027289C"/>
    <w:rsid w:val="0027396E"/>
    <w:rsid w:val="00273D54"/>
    <w:rsid w:val="00274023"/>
    <w:rsid w:val="0027424A"/>
    <w:rsid w:val="002746CB"/>
    <w:rsid w:val="002773B4"/>
    <w:rsid w:val="00280432"/>
    <w:rsid w:val="00281751"/>
    <w:rsid w:val="00284BEF"/>
    <w:rsid w:val="0028524E"/>
    <w:rsid w:val="00286AA2"/>
    <w:rsid w:val="00287D24"/>
    <w:rsid w:val="00287D39"/>
    <w:rsid w:val="002905B5"/>
    <w:rsid w:val="0029061C"/>
    <w:rsid w:val="002908A8"/>
    <w:rsid w:val="00292F56"/>
    <w:rsid w:val="00293279"/>
    <w:rsid w:val="00293C72"/>
    <w:rsid w:val="00294DAC"/>
    <w:rsid w:val="0029510F"/>
    <w:rsid w:val="00297942"/>
    <w:rsid w:val="00297D60"/>
    <w:rsid w:val="002A146B"/>
    <w:rsid w:val="002A1984"/>
    <w:rsid w:val="002A21B0"/>
    <w:rsid w:val="002A2665"/>
    <w:rsid w:val="002A3752"/>
    <w:rsid w:val="002A4D2F"/>
    <w:rsid w:val="002A4F96"/>
    <w:rsid w:val="002A6EAB"/>
    <w:rsid w:val="002A6F10"/>
    <w:rsid w:val="002B0BC8"/>
    <w:rsid w:val="002B2314"/>
    <w:rsid w:val="002B3D36"/>
    <w:rsid w:val="002B3E96"/>
    <w:rsid w:val="002B4607"/>
    <w:rsid w:val="002B4B9B"/>
    <w:rsid w:val="002B4D91"/>
    <w:rsid w:val="002B614A"/>
    <w:rsid w:val="002B652D"/>
    <w:rsid w:val="002B7B06"/>
    <w:rsid w:val="002B7D83"/>
    <w:rsid w:val="002C0D6F"/>
    <w:rsid w:val="002C15EF"/>
    <w:rsid w:val="002C25C9"/>
    <w:rsid w:val="002C570F"/>
    <w:rsid w:val="002C5746"/>
    <w:rsid w:val="002C6321"/>
    <w:rsid w:val="002C64E2"/>
    <w:rsid w:val="002D000B"/>
    <w:rsid w:val="002D00CA"/>
    <w:rsid w:val="002D0BA2"/>
    <w:rsid w:val="002D31C4"/>
    <w:rsid w:val="002D3482"/>
    <w:rsid w:val="002D76F0"/>
    <w:rsid w:val="002E0118"/>
    <w:rsid w:val="002E269D"/>
    <w:rsid w:val="002E2B38"/>
    <w:rsid w:val="002E4619"/>
    <w:rsid w:val="002E4CE0"/>
    <w:rsid w:val="002E57F6"/>
    <w:rsid w:val="002E6573"/>
    <w:rsid w:val="002E6584"/>
    <w:rsid w:val="002E686A"/>
    <w:rsid w:val="002E6937"/>
    <w:rsid w:val="002E6B5A"/>
    <w:rsid w:val="002E6BE5"/>
    <w:rsid w:val="002F0533"/>
    <w:rsid w:val="002F055F"/>
    <w:rsid w:val="002F095C"/>
    <w:rsid w:val="002F1BEC"/>
    <w:rsid w:val="002F244D"/>
    <w:rsid w:val="002F248F"/>
    <w:rsid w:val="002F28C8"/>
    <w:rsid w:val="002F5002"/>
    <w:rsid w:val="002F55A1"/>
    <w:rsid w:val="002F6E76"/>
    <w:rsid w:val="002F76B6"/>
    <w:rsid w:val="002F78BC"/>
    <w:rsid w:val="002F7BCA"/>
    <w:rsid w:val="0030031F"/>
    <w:rsid w:val="00301ED7"/>
    <w:rsid w:val="003037E8"/>
    <w:rsid w:val="00303E63"/>
    <w:rsid w:val="00304E52"/>
    <w:rsid w:val="0030574F"/>
    <w:rsid w:val="0030693B"/>
    <w:rsid w:val="00306A91"/>
    <w:rsid w:val="00306E96"/>
    <w:rsid w:val="0030725B"/>
    <w:rsid w:val="00307C34"/>
    <w:rsid w:val="00307CB0"/>
    <w:rsid w:val="00310110"/>
    <w:rsid w:val="0031228A"/>
    <w:rsid w:val="00312DD0"/>
    <w:rsid w:val="00314F47"/>
    <w:rsid w:val="0031591B"/>
    <w:rsid w:val="003159A7"/>
    <w:rsid w:val="00315ED6"/>
    <w:rsid w:val="00320601"/>
    <w:rsid w:val="003213BC"/>
    <w:rsid w:val="003235F5"/>
    <w:rsid w:val="00323A76"/>
    <w:rsid w:val="003254F9"/>
    <w:rsid w:val="0032637C"/>
    <w:rsid w:val="00326971"/>
    <w:rsid w:val="003273A6"/>
    <w:rsid w:val="00332A9E"/>
    <w:rsid w:val="00332EF7"/>
    <w:rsid w:val="0033370B"/>
    <w:rsid w:val="003343E7"/>
    <w:rsid w:val="003352BC"/>
    <w:rsid w:val="0033557F"/>
    <w:rsid w:val="00336090"/>
    <w:rsid w:val="00336EDB"/>
    <w:rsid w:val="0034000E"/>
    <w:rsid w:val="00340DF0"/>
    <w:rsid w:val="0034139C"/>
    <w:rsid w:val="003419F8"/>
    <w:rsid w:val="00344662"/>
    <w:rsid w:val="00344C47"/>
    <w:rsid w:val="00344CAE"/>
    <w:rsid w:val="0034549F"/>
    <w:rsid w:val="00346A1E"/>
    <w:rsid w:val="00346F3C"/>
    <w:rsid w:val="00352E9A"/>
    <w:rsid w:val="00353DF2"/>
    <w:rsid w:val="0035510F"/>
    <w:rsid w:val="00355C77"/>
    <w:rsid w:val="00356A39"/>
    <w:rsid w:val="00357B9D"/>
    <w:rsid w:val="0036188F"/>
    <w:rsid w:val="00361EC0"/>
    <w:rsid w:val="00362EB9"/>
    <w:rsid w:val="00363ADA"/>
    <w:rsid w:val="00364303"/>
    <w:rsid w:val="00364F69"/>
    <w:rsid w:val="00365937"/>
    <w:rsid w:val="00366731"/>
    <w:rsid w:val="00367EBC"/>
    <w:rsid w:val="003704EA"/>
    <w:rsid w:val="00371C62"/>
    <w:rsid w:val="00372373"/>
    <w:rsid w:val="0037626D"/>
    <w:rsid w:val="00381D3A"/>
    <w:rsid w:val="00382B02"/>
    <w:rsid w:val="00383E84"/>
    <w:rsid w:val="00383F88"/>
    <w:rsid w:val="00385AEA"/>
    <w:rsid w:val="00385CEE"/>
    <w:rsid w:val="003904FD"/>
    <w:rsid w:val="00390AD9"/>
    <w:rsid w:val="00391593"/>
    <w:rsid w:val="00393A7F"/>
    <w:rsid w:val="00393CCC"/>
    <w:rsid w:val="00393E4A"/>
    <w:rsid w:val="00395352"/>
    <w:rsid w:val="00395620"/>
    <w:rsid w:val="00397013"/>
    <w:rsid w:val="003A0154"/>
    <w:rsid w:val="003A0D54"/>
    <w:rsid w:val="003A132F"/>
    <w:rsid w:val="003A164B"/>
    <w:rsid w:val="003A1BCB"/>
    <w:rsid w:val="003A3D83"/>
    <w:rsid w:val="003A4126"/>
    <w:rsid w:val="003A4E20"/>
    <w:rsid w:val="003A53D2"/>
    <w:rsid w:val="003B0ADF"/>
    <w:rsid w:val="003B30F3"/>
    <w:rsid w:val="003B3C77"/>
    <w:rsid w:val="003B4E8E"/>
    <w:rsid w:val="003B50EA"/>
    <w:rsid w:val="003B541F"/>
    <w:rsid w:val="003B67F7"/>
    <w:rsid w:val="003B744F"/>
    <w:rsid w:val="003B7529"/>
    <w:rsid w:val="003B7877"/>
    <w:rsid w:val="003C0DC1"/>
    <w:rsid w:val="003C0E0B"/>
    <w:rsid w:val="003C0EAE"/>
    <w:rsid w:val="003C34BD"/>
    <w:rsid w:val="003C373D"/>
    <w:rsid w:val="003C38E5"/>
    <w:rsid w:val="003C3A96"/>
    <w:rsid w:val="003C43F6"/>
    <w:rsid w:val="003C4BC0"/>
    <w:rsid w:val="003C4FAA"/>
    <w:rsid w:val="003C6A1B"/>
    <w:rsid w:val="003C72EE"/>
    <w:rsid w:val="003C7EF8"/>
    <w:rsid w:val="003C7F53"/>
    <w:rsid w:val="003D0947"/>
    <w:rsid w:val="003D121F"/>
    <w:rsid w:val="003D17D0"/>
    <w:rsid w:val="003D2939"/>
    <w:rsid w:val="003D319A"/>
    <w:rsid w:val="003D3585"/>
    <w:rsid w:val="003D3679"/>
    <w:rsid w:val="003D3757"/>
    <w:rsid w:val="003D3AB7"/>
    <w:rsid w:val="003D3E8F"/>
    <w:rsid w:val="003D404F"/>
    <w:rsid w:val="003D44A7"/>
    <w:rsid w:val="003D5613"/>
    <w:rsid w:val="003E163C"/>
    <w:rsid w:val="003E1800"/>
    <w:rsid w:val="003E21C9"/>
    <w:rsid w:val="003E2882"/>
    <w:rsid w:val="003E2C9E"/>
    <w:rsid w:val="003E2F75"/>
    <w:rsid w:val="003E32DE"/>
    <w:rsid w:val="003E3576"/>
    <w:rsid w:val="003E3E08"/>
    <w:rsid w:val="003E42CB"/>
    <w:rsid w:val="003E4714"/>
    <w:rsid w:val="003E4A67"/>
    <w:rsid w:val="003E5A43"/>
    <w:rsid w:val="003E6F3F"/>
    <w:rsid w:val="003E7647"/>
    <w:rsid w:val="003E781C"/>
    <w:rsid w:val="003E7CB7"/>
    <w:rsid w:val="003F0C86"/>
    <w:rsid w:val="003F2A13"/>
    <w:rsid w:val="003F3BA4"/>
    <w:rsid w:val="003F4556"/>
    <w:rsid w:val="003F4E53"/>
    <w:rsid w:val="003F53C9"/>
    <w:rsid w:val="003F6AE8"/>
    <w:rsid w:val="00400B37"/>
    <w:rsid w:val="00403730"/>
    <w:rsid w:val="00403D05"/>
    <w:rsid w:val="004041E7"/>
    <w:rsid w:val="0040420E"/>
    <w:rsid w:val="0040483A"/>
    <w:rsid w:val="004057A6"/>
    <w:rsid w:val="004117B8"/>
    <w:rsid w:val="00411F52"/>
    <w:rsid w:val="00412057"/>
    <w:rsid w:val="00412310"/>
    <w:rsid w:val="0041563A"/>
    <w:rsid w:val="0041692A"/>
    <w:rsid w:val="00416993"/>
    <w:rsid w:val="00420378"/>
    <w:rsid w:val="0042101E"/>
    <w:rsid w:val="00422A96"/>
    <w:rsid w:val="0042749D"/>
    <w:rsid w:val="004331B0"/>
    <w:rsid w:val="00434A81"/>
    <w:rsid w:val="00435D9B"/>
    <w:rsid w:val="00435E40"/>
    <w:rsid w:val="00437C4C"/>
    <w:rsid w:val="004408C7"/>
    <w:rsid w:val="00441F77"/>
    <w:rsid w:val="00443C0A"/>
    <w:rsid w:val="00445780"/>
    <w:rsid w:val="00445E3F"/>
    <w:rsid w:val="00447477"/>
    <w:rsid w:val="004516E0"/>
    <w:rsid w:val="00451B5A"/>
    <w:rsid w:val="00451F2C"/>
    <w:rsid w:val="004520FC"/>
    <w:rsid w:val="004529AB"/>
    <w:rsid w:val="00454553"/>
    <w:rsid w:val="00455249"/>
    <w:rsid w:val="00455431"/>
    <w:rsid w:val="00455AE5"/>
    <w:rsid w:val="004604D6"/>
    <w:rsid w:val="00463522"/>
    <w:rsid w:val="004661CF"/>
    <w:rsid w:val="00467951"/>
    <w:rsid w:val="004736AD"/>
    <w:rsid w:val="00474EE3"/>
    <w:rsid w:val="00475901"/>
    <w:rsid w:val="00476A16"/>
    <w:rsid w:val="00480BA4"/>
    <w:rsid w:val="00481147"/>
    <w:rsid w:val="0048152D"/>
    <w:rsid w:val="00482266"/>
    <w:rsid w:val="00484264"/>
    <w:rsid w:val="00484598"/>
    <w:rsid w:val="00484F67"/>
    <w:rsid w:val="00485F82"/>
    <w:rsid w:val="00486CCE"/>
    <w:rsid w:val="00487124"/>
    <w:rsid w:val="004875FE"/>
    <w:rsid w:val="004904AC"/>
    <w:rsid w:val="00491028"/>
    <w:rsid w:val="00492498"/>
    <w:rsid w:val="00493870"/>
    <w:rsid w:val="004965EE"/>
    <w:rsid w:val="0049664D"/>
    <w:rsid w:val="00496D48"/>
    <w:rsid w:val="00496E6C"/>
    <w:rsid w:val="00496EAE"/>
    <w:rsid w:val="00497516"/>
    <w:rsid w:val="004A1E8B"/>
    <w:rsid w:val="004A22B0"/>
    <w:rsid w:val="004A2C21"/>
    <w:rsid w:val="004A4967"/>
    <w:rsid w:val="004A4A74"/>
    <w:rsid w:val="004A5194"/>
    <w:rsid w:val="004A56AE"/>
    <w:rsid w:val="004A5746"/>
    <w:rsid w:val="004A5C3B"/>
    <w:rsid w:val="004A5CC5"/>
    <w:rsid w:val="004B1FE6"/>
    <w:rsid w:val="004B27CE"/>
    <w:rsid w:val="004B4F41"/>
    <w:rsid w:val="004B52EB"/>
    <w:rsid w:val="004B56CB"/>
    <w:rsid w:val="004B5D57"/>
    <w:rsid w:val="004B5E99"/>
    <w:rsid w:val="004B698B"/>
    <w:rsid w:val="004B7751"/>
    <w:rsid w:val="004B7AC9"/>
    <w:rsid w:val="004B7D69"/>
    <w:rsid w:val="004C0721"/>
    <w:rsid w:val="004C0E51"/>
    <w:rsid w:val="004C153A"/>
    <w:rsid w:val="004C1AA1"/>
    <w:rsid w:val="004C1AE4"/>
    <w:rsid w:val="004C1D2F"/>
    <w:rsid w:val="004C1F86"/>
    <w:rsid w:val="004C279E"/>
    <w:rsid w:val="004C4BBC"/>
    <w:rsid w:val="004C51A5"/>
    <w:rsid w:val="004C528B"/>
    <w:rsid w:val="004C773E"/>
    <w:rsid w:val="004D18AD"/>
    <w:rsid w:val="004D3AC6"/>
    <w:rsid w:val="004D40EA"/>
    <w:rsid w:val="004D56ED"/>
    <w:rsid w:val="004D5B98"/>
    <w:rsid w:val="004E1BF6"/>
    <w:rsid w:val="004E1C90"/>
    <w:rsid w:val="004E23D2"/>
    <w:rsid w:val="004E35AC"/>
    <w:rsid w:val="004E4C7D"/>
    <w:rsid w:val="004E59C9"/>
    <w:rsid w:val="004E6F21"/>
    <w:rsid w:val="004E7A28"/>
    <w:rsid w:val="004E7BAA"/>
    <w:rsid w:val="004E7DD7"/>
    <w:rsid w:val="004E7F7F"/>
    <w:rsid w:val="004F071B"/>
    <w:rsid w:val="004F0D95"/>
    <w:rsid w:val="004F0E86"/>
    <w:rsid w:val="004F1854"/>
    <w:rsid w:val="004F26C8"/>
    <w:rsid w:val="004F3CE6"/>
    <w:rsid w:val="004F4256"/>
    <w:rsid w:val="004F4DA1"/>
    <w:rsid w:val="004F5B93"/>
    <w:rsid w:val="004F5E7F"/>
    <w:rsid w:val="004F650A"/>
    <w:rsid w:val="004F689A"/>
    <w:rsid w:val="004F6F9C"/>
    <w:rsid w:val="00501012"/>
    <w:rsid w:val="00501ACF"/>
    <w:rsid w:val="0050237D"/>
    <w:rsid w:val="00502E35"/>
    <w:rsid w:val="00504F67"/>
    <w:rsid w:val="00505B38"/>
    <w:rsid w:val="00506C0D"/>
    <w:rsid w:val="0051429F"/>
    <w:rsid w:val="00514810"/>
    <w:rsid w:val="005149A8"/>
    <w:rsid w:val="00514D83"/>
    <w:rsid w:val="00515153"/>
    <w:rsid w:val="005154AB"/>
    <w:rsid w:val="00517FB1"/>
    <w:rsid w:val="00517FF4"/>
    <w:rsid w:val="00520299"/>
    <w:rsid w:val="0052223D"/>
    <w:rsid w:val="00522508"/>
    <w:rsid w:val="00523149"/>
    <w:rsid w:val="00523852"/>
    <w:rsid w:val="00523CD7"/>
    <w:rsid w:val="00525D9E"/>
    <w:rsid w:val="005271B3"/>
    <w:rsid w:val="00530280"/>
    <w:rsid w:val="00531A3D"/>
    <w:rsid w:val="00532677"/>
    <w:rsid w:val="00532914"/>
    <w:rsid w:val="00532B95"/>
    <w:rsid w:val="00532FBA"/>
    <w:rsid w:val="0053332A"/>
    <w:rsid w:val="005336EE"/>
    <w:rsid w:val="005340A3"/>
    <w:rsid w:val="0053505B"/>
    <w:rsid w:val="00535AA4"/>
    <w:rsid w:val="00536093"/>
    <w:rsid w:val="0054133A"/>
    <w:rsid w:val="00542FB6"/>
    <w:rsid w:val="00545290"/>
    <w:rsid w:val="005458D9"/>
    <w:rsid w:val="00545D89"/>
    <w:rsid w:val="00547D71"/>
    <w:rsid w:val="00550981"/>
    <w:rsid w:val="00550B49"/>
    <w:rsid w:val="00551742"/>
    <w:rsid w:val="00551AED"/>
    <w:rsid w:val="00553FCC"/>
    <w:rsid w:val="005542F6"/>
    <w:rsid w:val="00555A52"/>
    <w:rsid w:val="0055620F"/>
    <w:rsid w:val="00556EF3"/>
    <w:rsid w:val="00563762"/>
    <w:rsid w:val="00563881"/>
    <w:rsid w:val="00564405"/>
    <w:rsid w:val="00564522"/>
    <w:rsid w:val="005645A2"/>
    <w:rsid w:val="005656B3"/>
    <w:rsid w:val="00566E3F"/>
    <w:rsid w:val="00570E79"/>
    <w:rsid w:val="00571ABE"/>
    <w:rsid w:val="00572284"/>
    <w:rsid w:val="00572E65"/>
    <w:rsid w:val="005731B1"/>
    <w:rsid w:val="00573763"/>
    <w:rsid w:val="00573EBD"/>
    <w:rsid w:val="00574A74"/>
    <w:rsid w:val="00575211"/>
    <w:rsid w:val="00576EAF"/>
    <w:rsid w:val="005771D7"/>
    <w:rsid w:val="00580754"/>
    <w:rsid w:val="00584CCA"/>
    <w:rsid w:val="00584ED9"/>
    <w:rsid w:val="00585051"/>
    <w:rsid w:val="00586988"/>
    <w:rsid w:val="00587A0E"/>
    <w:rsid w:val="00587E24"/>
    <w:rsid w:val="005905A1"/>
    <w:rsid w:val="005926F7"/>
    <w:rsid w:val="00593FF6"/>
    <w:rsid w:val="00594958"/>
    <w:rsid w:val="00594DB3"/>
    <w:rsid w:val="00595555"/>
    <w:rsid w:val="005978BD"/>
    <w:rsid w:val="005A00F5"/>
    <w:rsid w:val="005A0336"/>
    <w:rsid w:val="005A15ED"/>
    <w:rsid w:val="005A172C"/>
    <w:rsid w:val="005A2E50"/>
    <w:rsid w:val="005A5BC2"/>
    <w:rsid w:val="005A7412"/>
    <w:rsid w:val="005B0ACB"/>
    <w:rsid w:val="005B13EA"/>
    <w:rsid w:val="005B2B06"/>
    <w:rsid w:val="005B34F7"/>
    <w:rsid w:val="005B36EE"/>
    <w:rsid w:val="005B50FA"/>
    <w:rsid w:val="005B53C8"/>
    <w:rsid w:val="005B5B47"/>
    <w:rsid w:val="005B5FBD"/>
    <w:rsid w:val="005B647B"/>
    <w:rsid w:val="005C06D8"/>
    <w:rsid w:val="005C157D"/>
    <w:rsid w:val="005C1F43"/>
    <w:rsid w:val="005C4FDB"/>
    <w:rsid w:val="005D085E"/>
    <w:rsid w:val="005D1072"/>
    <w:rsid w:val="005D19B9"/>
    <w:rsid w:val="005D2268"/>
    <w:rsid w:val="005D35A7"/>
    <w:rsid w:val="005D4D8D"/>
    <w:rsid w:val="005D6DC2"/>
    <w:rsid w:val="005E1B4B"/>
    <w:rsid w:val="005E1E02"/>
    <w:rsid w:val="005E5ED0"/>
    <w:rsid w:val="005E677B"/>
    <w:rsid w:val="005E68F1"/>
    <w:rsid w:val="005E6C4A"/>
    <w:rsid w:val="005E6DE8"/>
    <w:rsid w:val="005E723F"/>
    <w:rsid w:val="005E73B9"/>
    <w:rsid w:val="005F1455"/>
    <w:rsid w:val="005F172E"/>
    <w:rsid w:val="005F2652"/>
    <w:rsid w:val="005F3CD8"/>
    <w:rsid w:val="005F3D2A"/>
    <w:rsid w:val="005F42CF"/>
    <w:rsid w:val="005F57CD"/>
    <w:rsid w:val="005F5D7A"/>
    <w:rsid w:val="005F6693"/>
    <w:rsid w:val="005F78AA"/>
    <w:rsid w:val="0060009E"/>
    <w:rsid w:val="006007BB"/>
    <w:rsid w:val="00600B17"/>
    <w:rsid w:val="0060228C"/>
    <w:rsid w:val="006023E3"/>
    <w:rsid w:val="0060294F"/>
    <w:rsid w:val="006042B4"/>
    <w:rsid w:val="006059A5"/>
    <w:rsid w:val="0060715E"/>
    <w:rsid w:val="00610259"/>
    <w:rsid w:val="00610987"/>
    <w:rsid w:val="00610AC5"/>
    <w:rsid w:val="0061212F"/>
    <w:rsid w:val="006126D2"/>
    <w:rsid w:val="00613F91"/>
    <w:rsid w:val="0061405A"/>
    <w:rsid w:val="00616AB0"/>
    <w:rsid w:val="00616E55"/>
    <w:rsid w:val="00617394"/>
    <w:rsid w:val="00620092"/>
    <w:rsid w:val="00622E7A"/>
    <w:rsid w:val="006235EA"/>
    <w:rsid w:val="00623A1F"/>
    <w:rsid w:val="00625A2D"/>
    <w:rsid w:val="0062645F"/>
    <w:rsid w:val="0062661C"/>
    <w:rsid w:val="00630ADE"/>
    <w:rsid w:val="00630FDB"/>
    <w:rsid w:val="006319DA"/>
    <w:rsid w:val="00632939"/>
    <w:rsid w:val="00633B48"/>
    <w:rsid w:val="00634722"/>
    <w:rsid w:val="0063487B"/>
    <w:rsid w:val="00634EBF"/>
    <w:rsid w:val="00634F8F"/>
    <w:rsid w:val="00635747"/>
    <w:rsid w:val="00635D44"/>
    <w:rsid w:val="0064026B"/>
    <w:rsid w:val="006406C9"/>
    <w:rsid w:val="00640804"/>
    <w:rsid w:val="006412F3"/>
    <w:rsid w:val="00641B42"/>
    <w:rsid w:val="00641D10"/>
    <w:rsid w:val="006425AA"/>
    <w:rsid w:val="0064486A"/>
    <w:rsid w:val="00647C5E"/>
    <w:rsid w:val="00650313"/>
    <w:rsid w:val="0065094A"/>
    <w:rsid w:val="00651192"/>
    <w:rsid w:val="006515E8"/>
    <w:rsid w:val="006516F5"/>
    <w:rsid w:val="0065224C"/>
    <w:rsid w:val="00655808"/>
    <w:rsid w:val="00655E1C"/>
    <w:rsid w:val="006561E4"/>
    <w:rsid w:val="00656742"/>
    <w:rsid w:val="00656C88"/>
    <w:rsid w:val="006573FA"/>
    <w:rsid w:val="00657913"/>
    <w:rsid w:val="00660F96"/>
    <w:rsid w:val="00663D7E"/>
    <w:rsid w:val="006655B1"/>
    <w:rsid w:val="00666A06"/>
    <w:rsid w:val="00670608"/>
    <w:rsid w:val="00670EE9"/>
    <w:rsid w:val="0067112F"/>
    <w:rsid w:val="00671481"/>
    <w:rsid w:val="00671633"/>
    <w:rsid w:val="00673348"/>
    <w:rsid w:val="00673EB8"/>
    <w:rsid w:val="00675500"/>
    <w:rsid w:val="00680959"/>
    <w:rsid w:val="00681492"/>
    <w:rsid w:val="00681677"/>
    <w:rsid w:val="00681D69"/>
    <w:rsid w:val="00681E92"/>
    <w:rsid w:val="00682978"/>
    <w:rsid w:val="006838A6"/>
    <w:rsid w:val="00684299"/>
    <w:rsid w:val="00684C46"/>
    <w:rsid w:val="006857D5"/>
    <w:rsid w:val="00686222"/>
    <w:rsid w:val="00687651"/>
    <w:rsid w:val="0068780A"/>
    <w:rsid w:val="00687D84"/>
    <w:rsid w:val="00694079"/>
    <w:rsid w:val="0069469A"/>
    <w:rsid w:val="0069473B"/>
    <w:rsid w:val="00695639"/>
    <w:rsid w:val="00696684"/>
    <w:rsid w:val="00697702"/>
    <w:rsid w:val="00697CD2"/>
    <w:rsid w:val="006A0570"/>
    <w:rsid w:val="006A0B93"/>
    <w:rsid w:val="006A1887"/>
    <w:rsid w:val="006A193E"/>
    <w:rsid w:val="006A1EB8"/>
    <w:rsid w:val="006A5066"/>
    <w:rsid w:val="006A5BDA"/>
    <w:rsid w:val="006A5EDE"/>
    <w:rsid w:val="006A63FA"/>
    <w:rsid w:val="006A7B5A"/>
    <w:rsid w:val="006B005A"/>
    <w:rsid w:val="006B0D8E"/>
    <w:rsid w:val="006B2092"/>
    <w:rsid w:val="006B335E"/>
    <w:rsid w:val="006B6D0E"/>
    <w:rsid w:val="006B7425"/>
    <w:rsid w:val="006B7D3D"/>
    <w:rsid w:val="006C00EF"/>
    <w:rsid w:val="006C0AF6"/>
    <w:rsid w:val="006C16F1"/>
    <w:rsid w:val="006C1D03"/>
    <w:rsid w:val="006C2AA4"/>
    <w:rsid w:val="006C6978"/>
    <w:rsid w:val="006C6A3A"/>
    <w:rsid w:val="006D0B34"/>
    <w:rsid w:val="006D0D64"/>
    <w:rsid w:val="006D2735"/>
    <w:rsid w:val="006D351B"/>
    <w:rsid w:val="006D391A"/>
    <w:rsid w:val="006D5B79"/>
    <w:rsid w:val="006D6CC2"/>
    <w:rsid w:val="006D7CD5"/>
    <w:rsid w:val="006E1B36"/>
    <w:rsid w:val="006E1C62"/>
    <w:rsid w:val="006E1DBC"/>
    <w:rsid w:val="006E41D0"/>
    <w:rsid w:val="006E55D4"/>
    <w:rsid w:val="006E5812"/>
    <w:rsid w:val="006E676D"/>
    <w:rsid w:val="006E70A4"/>
    <w:rsid w:val="006E7361"/>
    <w:rsid w:val="006E7C0B"/>
    <w:rsid w:val="006F0081"/>
    <w:rsid w:val="006F2CE2"/>
    <w:rsid w:val="006F3866"/>
    <w:rsid w:val="006F43F5"/>
    <w:rsid w:val="006F44BE"/>
    <w:rsid w:val="006F46B2"/>
    <w:rsid w:val="006F5234"/>
    <w:rsid w:val="006F6AF0"/>
    <w:rsid w:val="00700D48"/>
    <w:rsid w:val="007018EE"/>
    <w:rsid w:val="00701AD1"/>
    <w:rsid w:val="00703F82"/>
    <w:rsid w:val="00704323"/>
    <w:rsid w:val="00704935"/>
    <w:rsid w:val="00712917"/>
    <w:rsid w:val="00712CCC"/>
    <w:rsid w:val="007136B3"/>
    <w:rsid w:val="00714101"/>
    <w:rsid w:val="007152ED"/>
    <w:rsid w:val="00715777"/>
    <w:rsid w:val="00715CDA"/>
    <w:rsid w:val="00717B90"/>
    <w:rsid w:val="00722AB5"/>
    <w:rsid w:val="00722EB4"/>
    <w:rsid w:val="00724CE9"/>
    <w:rsid w:val="0072738B"/>
    <w:rsid w:val="0072752D"/>
    <w:rsid w:val="00727D04"/>
    <w:rsid w:val="007301BA"/>
    <w:rsid w:val="00730A89"/>
    <w:rsid w:val="00731D57"/>
    <w:rsid w:val="00734275"/>
    <w:rsid w:val="00736304"/>
    <w:rsid w:val="0073689B"/>
    <w:rsid w:val="00737308"/>
    <w:rsid w:val="00737E9B"/>
    <w:rsid w:val="007404F8"/>
    <w:rsid w:val="00740E91"/>
    <w:rsid w:val="00742702"/>
    <w:rsid w:val="00742ABB"/>
    <w:rsid w:val="007434E5"/>
    <w:rsid w:val="00743A88"/>
    <w:rsid w:val="00743DB7"/>
    <w:rsid w:val="00744137"/>
    <w:rsid w:val="0074492F"/>
    <w:rsid w:val="007451C3"/>
    <w:rsid w:val="00745D3C"/>
    <w:rsid w:val="0075237A"/>
    <w:rsid w:val="0075343B"/>
    <w:rsid w:val="00754045"/>
    <w:rsid w:val="00754DD6"/>
    <w:rsid w:val="0075536C"/>
    <w:rsid w:val="00755804"/>
    <w:rsid w:val="007559DA"/>
    <w:rsid w:val="00756F8F"/>
    <w:rsid w:val="007606A0"/>
    <w:rsid w:val="007628C0"/>
    <w:rsid w:val="00763A17"/>
    <w:rsid w:val="00764BD2"/>
    <w:rsid w:val="00765381"/>
    <w:rsid w:val="00765E88"/>
    <w:rsid w:val="00767597"/>
    <w:rsid w:val="00771801"/>
    <w:rsid w:val="00772ABD"/>
    <w:rsid w:val="00773531"/>
    <w:rsid w:val="007813E2"/>
    <w:rsid w:val="007832D9"/>
    <w:rsid w:val="00786BBF"/>
    <w:rsid w:val="00786E81"/>
    <w:rsid w:val="007875F0"/>
    <w:rsid w:val="00787C52"/>
    <w:rsid w:val="00792B36"/>
    <w:rsid w:val="00792CC9"/>
    <w:rsid w:val="00793AFE"/>
    <w:rsid w:val="007941DB"/>
    <w:rsid w:val="00794782"/>
    <w:rsid w:val="00794876"/>
    <w:rsid w:val="007971FA"/>
    <w:rsid w:val="007A15A3"/>
    <w:rsid w:val="007A2B72"/>
    <w:rsid w:val="007A330C"/>
    <w:rsid w:val="007A4696"/>
    <w:rsid w:val="007A6E1E"/>
    <w:rsid w:val="007A7E46"/>
    <w:rsid w:val="007B0E32"/>
    <w:rsid w:val="007B0E7E"/>
    <w:rsid w:val="007B1C6C"/>
    <w:rsid w:val="007B2F6A"/>
    <w:rsid w:val="007B31DE"/>
    <w:rsid w:val="007B3A02"/>
    <w:rsid w:val="007B414C"/>
    <w:rsid w:val="007B4D01"/>
    <w:rsid w:val="007B5F53"/>
    <w:rsid w:val="007C0CD2"/>
    <w:rsid w:val="007C110D"/>
    <w:rsid w:val="007C1C9A"/>
    <w:rsid w:val="007C25D7"/>
    <w:rsid w:val="007C2DE2"/>
    <w:rsid w:val="007C310D"/>
    <w:rsid w:val="007C33E7"/>
    <w:rsid w:val="007C378C"/>
    <w:rsid w:val="007C4F50"/>
    <w:rsid w:val="007C5099"/>
    <w:rsid w:val="007C558F"/>
    <w:rsid w:val="007C7838"/>
    <w:rsid w:val="007D129E"/>
    <w:rsid w:val="007D1E23"/>
    <w:rsid w:val="007D2F57"/>
    <w:rsid w:val="007D333E"/>
    <w:rsid w:val="007D3A2A"/>
    <w:rsid w:val="007D4A5A"/>
    <w:rsid w:val="007D5D7D"/>
    <w:rsid w:val="007D6D32"/>
    <w:rsid w:val="007D7E02"/>
    <w:rsid w:val="007E006E"/>
    <w:rsid w:val="007E151F"/>
    <w:rsid w:val="007E24F8"/>
    <w:rsid w:val="007E28D7"/>
    <w:rsid w:val="007E30E0"/>
    <w:rsid w:val="007E37F6"/>
    <w:rsid w:val="007E3CDB"/>
    <w:rsid w:val="007E3F8B"/>
    <w:rsid w:val="007E58AC"/>
    <w:rsid w:val="007E617A"/>
    <w:rsid w:val="007E645E"/>
    <w:rsid w:val="007E6662"/>
    <w:rsid w:val="007E6743"/>
    <w:rsid w:val="007F04AF"/>
    <w:rsid w:val="007F062E"/>
    <w:rsid w:val="007F1DAA"/>
    <w:rsid w:val="007F33C9"/>
    <w:rsid w:val="007F4F48"/>
    <w:rsid w:val="007F5333"/>
    <w:rsid w:val="007F597E"/>
    <w:rsid w:val="007F5B44"/>
    <w:rsid w:val="007F609A"/>
    <w:rsid w:val="007F7E0C"/>
    <w:rsid w:val="00800095"/>
    <w:rsid w:val="008001DA"/>
    <w:rsid w:val="0080149D"/>
    <w:rsid w:val="0080213A"/>
    <w:rsid w:val="00802B84"/>
    <w:rsid w:val="0080349A"/>
    <w:rsid w:val="008103E6"/>
    <w:rsid w:val="00810CD6"/>
    <w:rsid w:val="00812A2C"/>
    <w:rsid w:val="00813D07"/>
    <w:rsid w:val="00814635"/>
    <w:rsid w:val="00814AA0"/>
    <w:rsid w:val="00814E1F"/>
    <w:rsid w:val="0081591B"/>
    <w:rsid w:val="00816670"/>
    <w:rsid w:val="008201A6"/>
    <w:rsid w:val="008206D9"/>
    <w:rsid w:val="00821B83"/>
    <w:rsid w:val="008235C6"/>
    <w:rsid w:val="0082581E"/>
    <w:rsid w:val="00825E60"/>
    <w:rsid w:val="0082618A"/>
    <w:rsid w:val="00830CB4"/>
    <w:rsid w:val="00831920"/>
    <w:rsid w:val="00831DA2"/>
    <w:rsid w:val="00832522"/>
    <w:rsid w:val="008336B6"/>
    <w:rsid w:val="00834279"/>
    <w:rsid w:val="00835B93"/>
    <w:rsid w:val="00835BF8"/>
    <w:rsid w:val="00835D10"/>
    <w:rsid w:val="00835E44"/>
    <w:rsid w:val="00837E4F"/>
    <w:rsid w:val="0084051F"/>
    <w:rsid w:val="008408CE"/>
    <w:rsid w:val="00844F27"/>
    <w:rsid w:val="00845AED"/>
    <w:rsid w:val="00846BC3"/>
    <w:rsid w:val="0085176D"/>
    <w:rsid w:val="00851BED"/>
    <w:rsid w:val="00851FA9"/>
    <w:rsid w:val="00853182"/>
    <w:rsid w:val="00853E58"/>
    <w:rsid w:val="0085455F"/>
    <w:rsid w:val="00854638"/>
    <w:rsid w:val="008546F2"/>
    <w:rsid w:val="008554DD"/>
    <w:rsid w:val="00860504"/>
    <w:rsid w:val="008626C8"/>
    <w:rsid w:val="00862B1B"/>
    <w:rsid w:val="008635D1"/>
    <w:rsid w:val="0086742B"/>
    <w:rsid w:val="00867F0F"/>
    <w:rsid w:val="00870ED6"/>
    <w:rsid w:val="00873B58"/>
    <w:rsid w:val="00875C24"/>
    <w:rsid w:val="00876079"/>
    <w:rsid w:val="00876B77"/>
    <w:rsid w:val="008777DD"/>
    <w:rsid w:val="008779E9"/>
    <w:rsid w:val="008803BD"/>
    <w:rsid w:val="00881F82"/>
    <w:rsid w:val="00882B0D"/>
    <w:rsid w:val="00883B5E"/>
    <w:rsid w:val="00883FD1"/>
    <w:rsid w:val="008842F2"/>
    <w:rsid w:val="00884830"/>
    <w:rsid w:val="0088490C"/>
    <w:rsid w:val="00886542"/>
    <w:rsid w:val="00886A97"/>
    <w:rsid w:val="00886B7D"/>
    <w:rsid w:val="00886C90"/>
    <w:rsid w:val="0089033C"/>
    <w:rsid w:val="008915DD"/>
    <w:rsid w:val="008917A3"/>
    <w:rsid w:val="008919DA"/>
    <w:rsid w:val="00891F8C"/>
    <w:rsid w:val="008923D7"/>
    <w:rsid w:val="008931FC"/>
    <w:rsid w:val="008947B4"/>
    <w:rsid w:val="00896B43"/>
    <w:rsid w:val="00897C43"/>
    <w:rsid w:val="008A0C53"/>
    <w:rsid w:val="008A17C1"/>
    <w:rsid w:val="008A1D26"/>
    <w:rsid w:val="008A4271"/>
    <w:rsid w:val="008A46B3"/>
    <w:rsid w:val="008A5F19"/>
    <w:rsid w:val="008B1DAB"/>
    <w:rsid w:val="008B2FEA"/>
    <w:rsid w:val="008B38FA"/>
    <w:rsid w:val="008B3A33"/>
    <w:rsid w:val="008B4083"/>
    <w:rsid w:val="008B552D"/>
    <w:rsid w:val="008B5921"/>
    <w:rsid w:val="008B5AF0"/>
    <w:rsid w:val="008B5EF2"/>
    <w:rsid w:val="008B62F3"/>
    <w:rsid w:val="008B6301"/>
    <w:rsid w:val="008B6B26"/>
    <w:rsid w:val="008B7742"/>
    <w:rsid w:val="008B7896"/>
    <w:rsid w:val="008C0F93"/>
    <w:rsid w:val="008C13FA"/>
    <w:rsid w:val="008C1AEA"/>
    <w:rsid w:val="008C23B8"/>
    <w:rsid w:val="008C2D5F"/>
    <w:rsid w:val="008C3761"/>
    <w:rsid w:val="008C6021"/>
    <w:rsid w:val="008C7580"/>
    <w:rsid w:val="008C7B7E"/>
    <w:rsid w:val="008D1E29"/>
    <w:rsid w:val="008D33C9"/>
    <w:rsid w:val="008D38B5"/>
    <w:rsid w:val="008D3AB2"/>
    <w:rsid w:val="008D3AFB"/>
    <w:rsid w:val="008D5044"/>
    <w:rsid w:val="008D51B3"/>
    <w:rsid w:val="008D6D0E"/>
    <w:rsid w:val="008D6F38"/>
    <w:rsid w:val="008D75FF"/>
    <w:rsid w:val="008D773C"/>
    <w:rsid w:val="008D7A9F"/>
    <w:rsid w:val="008E2AA6"/>
    <w:rsid w:val="008E324C"/>
    <w:rsid w:val="008E3EE2"/>
    <w:rsid w:val="008E6683"/>
    <w:rsid w:val="008E6F80"/>
    <w:rsid w:val="008E7B64"/>
    <w:rsid w:val="008E7DB6"/>
    <w:rsid w:val="008F1315"/>
    <w:rsid w:val="008F29D7"/>
    <w:rsid w:val="008F3963"/>
    <w:rsid w:val="008F460A"/>
    <w:rsid w:val="008F522C"/>
    <w:rsid w:val="008F58C5"/>
    <w:rsid w:val="008F5C0E"/>
    <w:rsid w:val="008F5EC4"/>
    <w:rsid w:val="008F7325"/>
    <w:rsid w:val="008F7578"/>
    <w:rsid w:val="00901249"/>
    <w:rsid w:val="009015F9"/>
    <w:rsid w:val="00902176"/>
    <w:rsid w:val="0090468F"/>
    <w:rsid w:val="00904D05"/>
    <w:rsid w:val="00905730"/>
    <w:rsid w:val="00907CB4"/>
    <w:rsid w:val="00907E70"/>
    <w:rsid w:val="009115FE"/>
    <w:rsid w:val="009126DB"/>
    <w:rsid w:val="00912D0A"/>
    <w:rsid w:val="0091472E"/>
    <w:rsid w:val="009164D2"/>
    <w:rsid w:val="009206B4"/>
    <w:rsid w:val="00924B9F"/>
    <w:rsid w:val="00924FE4"/>
    <w:rsid w:val="00925A7E"/>
    <w:rsid w:val="00926874"/>
    <w:rsid w:val="009273AB"/>
    <w:rsid w:val="00931075"/>
    <w:rsid w:val="00931732"/>
    <w:rsid w:val="00931DBA"/>
    <w:rsid w:val="0093274E"/>
    <w:rsid w:val="00934531"/>
    <w:rsid w:val="0093769F"/>
    <w:rsid w:val="009404F7"/>
    <w:rsid w:val="0094110B"/>
    <w:rsid w:val="00944248"/>
    <w:rsid w:val="00945779"/>
    <w:rsid w:val="009463A0"/>
    <w:rsid w:val="009540D2"/>
    <w:rsid w:val="00955B85"/>
    <w:rsid w:val="00955E76"/>
    <w:rsid w:val="00957150"/>
    <w:rsid w:val="00957EFD"/>
    <w:rsid w:val="00960CE5"/>
    <w:rsid w:val="00962C97"/>
    <w:rsid w:val="00962E2D"/>
    <w:rsid w:val="0096335E"/>
    <w:rsid w:val="00964A65"/>
    <w:rsid w:val="009702CC"/>
    <w:rsid w:val="0097277C"/>
    <w:rsid w:val="009729EA"/>
    <w:rsid w:val="00972C6F"/>
    <w:rsid w:val="00973485"/>
    <w:rsid w:val="0097355D"/>
    <w:rsid w:val="0097475E"/>
    <w:rsid w:val="0097735A"/>
    <w:rsid w:val="0097786D"/>
    <w:rsid w:val="00977F78"/>
    <w:rsid w:val="009821C7"/>
    <w:rsid w:val="0098228C"/>
    <w:rsid w:val="009822A5"/>
    <w:rsid w:val="00983FBD"/>
    <w:rsid w:val="00984BF0"/>
    <w:rsid w:val="009853F7"/>
    <w:rsid w:val="009860D7"/>
    <w:rsid w:val="00986739"/>
    <w:rsid w:val="00986AE1"/>
    <w:rsid w:val="00986BD0"/>
    <w:rsid w:val="00991044"/>
    <w:rsid w:val="009912A0"/>
    <w:rsid w:val="0099191D"/>
    <w:rsid w:val="00991EE1"/>
    <w:rsid w:val="00992783"/>
    <w:rsid w:val="009958EB"/>
    <w:rsid w:val="00997738"/>
    <w:rsid w:val="00997BEE"/>
    <w:rsid w:val="00997E83"/>
    <w:rsid w:val="009A181C"/>
    <w:rsid w:val="009A2077"/>
    <w:rsid w:val="009A2848"/>
    <w:rsid w:val="009A319E"/>
    <w:rsid w:val="009A3575"/>
    <w:rsid w:val="009A4258"/>
    <w:rsid w:val="009A4411"/>
    <w:rsid w:val="009A500B"/>
    <w:rsid w:val="009A7D93"/>
    <w:rsid w:val="009A7EE9"/>
    <w:rsid w:val="009B2CA3"/>
    <w:rsid w:val="009B3815"/>
    <w:rsid w:val="009B4856"/>
    <w:rsid w:val="009B519A"/>
    <w:rsid w:val="009B579B"/>
    <w:rsid w:val="009B5D3A"/>
    <w:rsid w:val="009C0872"/>
    <w:rsid w:val="009C08AD"/>
    <w:rsid w:val="009C2755"/>
    <w:rsid w:val="009C3E2B"/>
    <w:rsid w:val="009C4117"/>
    <w:rsid w:val="009C4357"/>
    <w:rsid w:val="009C4B3A"/>
    <w:rsid w:val="009C60D1"/>
    <w:rsid w:val="009C7826"/>
    <w:rsid w:val="009C7B8A"/>
    <w:rsid w:val="009D005F"/>
    <w:rsid w:val="009D15F4"/>
    <w:rsid w:val="009D2C21"/>
    <w:rsid w:val="009D3187"/>
    <w:rsid w:val="009D3414"/>
    <w:rsid w:val="009D77B0"/>
    <w:rsid w:val="009E06F8"/>
    <w:rsid w:val="009E19D7"/>
    <w:rsid w:val="009E1AB4"/>
    <w:rsid w:val="009E3ADC"/>
    <w:rsid w:val="009E3E1E"/>
    <w:rsid w:val="009E5BEA"/>
    <w:rsid w:val="009E6514"/>
    <w:rsid w:val="009E6AE7"/>
    <w:rsid w:val="009E7153"/>
    <w:rsid w:val="009E7F55"/>
    <w:rsid w:val="009F1080"/>
    <w:rsid w:val="009F1180"/>
    <w:rsid w:val="009F30E8"/>
    <w:rsid w:val="009F45AF"/>
    <w:rsid w:val="009F73AC"/>
    <w:rsid w:val="009F7F40"/>
    <w:rsid w:val="00A0196A"/>
    <w:rsid w:val="00A03475"/>
    <w:rsid w:val="00A03C19"/>
    <w:rsid w:val="00A07179"/>
    <w:rsid w:val="00A11CC8"/>
    <w:rsid w:val="00A12649"/>
    <w:rsid w:val="00A13002"/>
    <w:rsid w:val="00A137EC"/>
    <w:rsid w:val="00A13D82"/>
    <w:rsid w:val="00A15062"/>
    <w:rsid w:val="00A152FF"/>
    <w:rsid w:val="00A15536"/>
    <w:rsid w:val="00A1682B"/>
    <w:rsid w:val="00A16A38"/>
    <w:rsid w:val="00A17393"/>
    <w:rsid w:val="00A173FC"/>
    <w:rsid w:val="00A2038E"/>
    <w:rsid w:val="00A20EE7"/>
    <w:rsid w:val="00A23092"/>
    <w:rsid w:val="00A23436"/>
    <w:rsid w:val="00A23751"/>
    <w:rsid w:val="00A23830"/>
    <w:rsid w:val="00A23909"/>
    <w:rsid w:val="00A243A9"/>
    <w:rsid w:val="00A2559F"/>
    <w:rsid w:val="00A25A60"/>
    <w:rsid w:val="00A32374"/>
    <w:rsid w:val="00A32408"/>
    <w:rsid w:val="00A33527"/>
    <w:rsid w:val="00A33CBD"/>
    <w:rsid w:val="00A3681E"/>
    <w:rsid w:val="00A36EB8"/>
    <w:rsid w:val="00A42FF1"/>
    <w:rsid w:val="00A4382B"/>
    <w:rsid w:val="00A458F8"/>
    <w:rsid w:val="00A4651D"/>
    <w:rsid w:val="00A46E93"/>
    <w:rsid w:val="00A5250A"/>
    <w:rsid w:val="00A54DA8"/>
    <w:rsid w:val="00A56532"/>
    <w:rsid w:val="00A601E5"/>
    <w:rsid w:val="00A606A7"/>
    <w:rsid w:val="00A614D7"/>
    <w:rsid w:val="00A61B34"/>
    <w:rsid w:val="00A632DE"/>
    <w:rsid w:val="00A640BB"/>
    <w:rsid w:val="00A644A3"/>
    <w:rsid w:val="00A64C7F"/>
    <w:rsid w:val="00A66438"/>
    <w:rsid w:val="00A6644C"/>
    <w:rsid w:val="00A66693"/>
    <w:rsid w:val="00A67553"/>
    <w:rsid w:val="00A70AD5"/>
    <w:rsid w:val="00A7170C"/>
    <w:rsid w:val="00A7173E"/>
    <w:rsid w:val="00A71F3E"/>
    <w:rsid w:val="00A72161"/>
    <w:rsid w:val="00A72628"/>
    <w:rsid w:val="00A726D7"/>
    <w:rsid w:val="00A7593F"/>
    <w:rsid w:val="00A77782"/>
    <w:rsid w:val="00A77AC1"/>
    <w:rsid w:val="00A81788"/>
    <w:rsid w:val="00A822C0"/>
    <w:rsid w:val="00A84007"/>
    <w:rsid w:val="00A8516F"/>
    <w:rsid w:val="00A85872"/>
    <w:rsid w:val="00A86F99"/>
    <w:rsid w:val="00A91098"/>
    <w:rsid w:val="00A9221E"/>
    <w:rsid w:val="00A9312B"/>
    <w:rsid w:val="00A943F6"/>
    <w:rsid w:val="00A95BBD"/>
    <w:rsid w:val="00A96494"/>
    <w:rsid w:val="00A97B3B"/>
    <w:rsid w:val="00AA02DA"/>
    <w:rsid w:val="00AA2FEC"/>
    <w:rsid w:val="00AA429C"/>
    <w:rsid w:val="00AA69BE"/>
    <w:rsid w:val="00AB0793"/>
    <w:rsid w:val="00AB24CD"/>
    <w:rsid w:val="00AB37C6"/>
    <w:rsid w:val="00AB3E94"/>
    <w:rsid w:val="00AB5AC4"/>
    <w:rsid w:val="00AC0761"/>
    <w:rsid w:val="00AC4913"/>
    <w:rsid w:val="00AC4DCB"/>
    <w:rsid w:val="00AC5893"/>
    <w:rsid w:val="00AC71DC"/>
    <w:rsid w:val="00AD06EC"/>
    <w:rsid w:val="00AD2C5B"/>
    <w:rsid w:val="00AD7433"/>
    <w:rsid w:val="00AE1456"/>
    <w:rsid w:val="00AE3B01"/>
    <w:rsid w:val="00AE687C"/>
    <w:rsid w:val="00AF05E4"/>
    <w:rsid w:val="00AF113C"/>
    <w:rsid w:val="00AF1B69"/>
    <w:rsid w:val="00AF208D"/>
    <w:rsid w:val="00AF2AEF"/>
    <w:rsid w:val="00AF2BB4"/>
    <w:rsid w:val="00AF3843"/>
    <w:rsid w:val="00AF3A36"/>
    <w:rsid w:val="00AF3FEB"/>
    <w:rsid w:val="00AF42DD"/>
    <w:rsid w:val="00AF47D3"/>
    <w:rsid w:val="00AF4A7E"/>
    <w:rsid w:val="00AF558B"/>
    <w:rsid w:val="00AF5EA8"/>
    <w:rsid w:val="00AF5FC6"/>
    <w:rsid w:val="00AF611B"/>
    <w:rsid w:val="00AF6D19"/>
    <w:rsid w:val="00B00EFC"/>
    <w:rsid w:val="00B00FFA"/>
    <w:rsid w:val="00B013D1"/>
    <w:rsid w:val="00B01762"/>
    <w:rsid w:val="00B01BED"/>
    <w:rsid w:val="00B01C15"/>
    <w:rsid w:val="00B0494D"/>
    <w:rsid w:val="00B0514F"/>
    <w:rsid w:val="00B051B2"/>
    <w:rsid w:val="00B062CF"/>
    <w:rsid w:val="00B06381"/>
    <w:rsid w:val="00B06436"/>
    <w:rsid w:val="00B0693B"/>
    <w:rsid w:val="00B0798F"/>
    <w:rsid w:val="00B079E3"/>
    <w:rsid w:val="00B07E3B"/>
    <w:rsid w:val="00B12D7D"/>
    <w:rsid w:val="00B13758"/>
    <w:rsid w:val="00B156FD"/>
    <w:rsid w:val="00B15F60"/>
    <w:rsid w:val="00B20497"/>
    <w:rsid w:val="00B20F05"/>
    <w:rsid w:val="00B213D2"/>
    <w:rsid w:val="00B220DD"/>
    <w:rsid w:val="00B233FB"/>
    <w:rsid w:val="00B240FB"/>
    <w:rsid w:val="00B24E29"/>
    <w:rsid w:val="00B26F52"/>
    <w:rsid w:val="00B301E2"/>
    <w:rsid w:val="00B30350"/>
    <w:rsid w:val="00B30BE9"/>
    <w:rsid w:val="00B30C42"/>
    <w:rsid w:val="00B30F0F"/>
    <w:rsid w:val="00B3112F"/>
    <w:rsid w:val="00B316E8"/>
    <w:rsid w:val="00B31AC0"/>
    <w:rsid w:val="00B34411"/>
    <w:rsid w:val="00B370D0"/>
    <w:rsid w:val="00B378F6"/>
    <w:rsid w:val="00B37FA2"/>
    <w:rsid w:val="00B423B9"/>
    <w:rsid w:val="00B42808"/>
    <w:rsid w:val="00B44CD3"/>
    <w:rsid w:val="00B45FAD"/>
    <w:rsid w:val="00B463E0"/>
    <w:rsid w:val="00B46538"/>
    <w:rsid w:val="00B4667A"/>
    <w:rsid w:val="00B4794A"/>
    <w:rsid w:val="00B47CFD"/>
    <w:rsid w:val="00B52E57"/>
    <w:rsid w:val="00B53686"/>
    <w:rsid w:val="00B5467B"/>
    <w:rsid w:val="00B55EAD"/>
    <w:rsid w:val="00B6092D"/>
    <w:rsid w:val="00B60CCC"/>
    <w:rsid w:val="00B60DB0"/>
    <w:rsid w:val="00B61F8D"/>
    <w:rsid w:val="00B62B3C"/>
    <w:rsid w:val="00B63F81"/>
    <w:rsid w:val="00B66258"/>
    <w:rsid w:val="00B663E8"/>
    <w:rsid w:val="00B66678"/>
    <w:rsid w:val="00B66C1D"/>
    <w:rsid w:val="00B671BF"/>
    <w:rsid w:val="00B67E12"/>
    <w:rsid w:val="00B70907"/>
    <w:rsid w:val="00B7378B"/>
    <w:rsid w:val="00B73BFE"/>
    <w:rsid w:val="00B7448E"/>
    <w:rsid w:val="00B746D8"/>
    <w:rsid w:val="00B751E7"/>
    <w:rsid w:val="00B7568F"/>
    <w:rsid w:val="00B76A0A"/>
    <w:rsid w:val="00B803B5"/>
    <w:rsid w:val="00B81027"/>
    <w:rsid w:val="00B81385"/>
    <w:rsid w:val="00B819EB"/>
    <w:rsid w:val="00B82742"/>
    <w:rsid w:val="00B84995"/>
    <w:rsid w:val="00B84FF0"/>
    <w:rsid w:val="00B859DD"/>
    <w:rsid w:val="00B86038"/>
    <w:rsid w:val="00B87099"/>
    <w:rsid w:val="00B90410"/>
    <w:rsid w:val="00B9047D"/>
    <w:rsid w:val="00B90866"/>
    <w:rsid w:val="00B914D3"/>
    <w:rsid w:val="00B9220C"/>
    <w:rsid w:val="00B927E3"/>
    <w:rsid w:val="00B93ABC"/>
    <w:rsid w:val="00B94313"/>
    <w:rsid w:val="00B949A6"/>
    <w:rsid w:val="00B95123"/>
    <w:rsid w:val="00B9512B"/>
    <w:rsid w:val="00B955F9"/>
    <w:rsid w:val="00B95D66"/>
    <w:rsid w:val="00B96BCF"/>
    <w:rsid w:val="00BA242C"/>
    <w:rsid w:val="00BA287F"/>
    <w:rsid w:val="00BA2D11"/>
    <w:rsid w:val="00BA352F"/>
    <w:rsid w:val="00BA3602"/>
    <w:rsid w:val="00BA5C9D"/>
    <w:rsid w:val="00BA5F56"/>
    <w:rsid w:val="00BA680A"/>
    <w:rsid w:val="00BB04A3"/>
    <w:rsid w:val="00BB1225"/>
    <w:rsid w:val="00BB4543"/>
    <w:rsid w:val="00BB5B2E"/>
    <w:rsid w:val="00BB63D0"/>
    <w:rsid w:val="00BB68EB"/>
    <w:rsid w:val="00BB76CB"/>
    <w:rsid w:val="00BB78B8"/>
    <w:rsid w:val="00BC4014"/>
    <w:rsid w:val="00BC407E"/>
    <w:rsid w:val="00BC4FEA"/>
    <w:rsid w:val="00BC55F8"/>
    <w:rsid w:val="00BC6599"/>
    <w:rsid w:val="00BD02D2"/>
    <w:rsid w:val="00BD0CAA"/>
    <w:rsid w:val="00BD29A6"/>
    <w:rsid w:val="00BD3811"/>
    <w:rsid w:val="00BD463C"/>
    <w:rsid w:val="00BD50BC"/>
    <w:rsid w:val="00BD5B80"/>
    <w:rsid w:val="00BD6964"/>
    <w:rsid w:val="00BD797A"/>
    <w:rsid w:val="00BE08A6"/>
    <w:rsid w:val="00BE47D1"/>
    <w:rsid w:val="00BE6797"/>
    <w:rsid w:val="00BF0C9E"/>
    <w:rsid w:val="00BF242C"/>
    <w:rsid w:val="00BF257E"/>
    <w:rsid w:val="00BF3CEB"/>
    <w:rsid w:val="00BF3FEA"/>
    <w:rsid w:val="00BF45E0"/>
    <w:rsid w:val="00BF5899"/>
    <w:rsid w:val="00BF691D"/>
    <w:rsid w:val="00C005C0"/>
    <w:rsid w:val="00C00BAE"/>
    <w:rsid w:val="00C026D0"/>
    <w:rsid w:val="00C027EB"/>
    <w:rsid w:val="00C02EA3"/>
    <w:rsid w:val="00C0418E"/>
    <w:rsid w:val="00C04A09"/>
    <w:rsid w:val="00C05D7C"/>
    <w:rsid w:val="00C06E6A"/>
    <w:rsid w:val="00C070D2"/>
    <w:rsid w:val="00C0759D"/>
    <w:rsid w:val="00C07E7C"/>
    <w:rsid w:val="00C10053"/>
    <w:rsid w:val="00C10828"/>
    <w:rsid w:val="00C1184E"/>
    <w:rsid w:val="00C11BEB"/>
    <w:rsid w:val="00C11CE7"/>
    <w:rsid w:val="00C11F30"/>
    <w:rsid w:val="00C12D16"/>
    <w:rsid w:val="00C1358F"/>
    <w:rsid w:val="00C135F7"/>
    <w:rsid w:val="00C14E79"/>
    <w:rsid w:val="00C16ADC"/>
    <w:rsid w:val="00C17875"/>
    <w:rsid w:val="00C20DB7"/>
    <w:rsid w:val="00C21BE9"/>
    <w:rsid w:val="00C21D56"/>
    <w:rsid w:val="00C24D86"/>
    <w:rsid w:val="00C250BA"/>
    <w:rsid w:val="00C2775C"/>
    <w:rsid w:val="00C3084D"/>
    <w:rsid w:val="00C315A8"/>
    <w:rsid w:val="00C32661"/>
    <w:rsid w:val="00C33768"/>
    <w:rsid w:val="00C35401"/>
    <w:rsid w:val="00C36922"/>
    <w:rsid w:val="00C404CD"/>
    <w:rsid w:val="00C40999"/>
    <w:rsid w:val="00C40EC1"/>
    <w:rsid w:val="00C41CE5"/>
    <w:rsid w:val="00C42852"/>
    <w:rsid w:val="00C44D30"/>
    <w:rsid w:val="00C46750"/>
    <w:rsid w:val="00C5034B"/>
    <w:rsid w:val="00C5043A"/>
    <w:rsid w:val="00C5113A"/>
    <w:rsid w:val="00C511FF"/>
    <w:rsid w:val="00C5164E"/>
    <w:rsid w:val="00C574F3"/>
    <w:rsid w:val="00C601EC"/>
    <w:rsid w:val="00C60CEC"/>
    <w:rsid w:val="00C61669"/>
    <w:rsid w:val="00C61E58"/>
    <w:rsid w:val="00C6316E"/>
    <w:rsid w:val="00C63522"/>
    <w:rsid w:val="00C6371C"/>
    <w:rsid w:val="00C63E53"/>
    <w:rsid w:val="00C64326"/>
    <w:rsid w:val="00C646D3"/>
    <w:rsid w:val="00C64959"/>
    <w:rsid w:val="00C67217"/>
    <w:rsid w:val="00C67EDB"/>
    <w:rsid w:val="00C7365C"/>
    <w:rsid w:val="00C740CC"/>
    <w:rsid w:val="00C74587"/>
    <w:rsid w:val="00C74D5E"/>
    <w:rsid w:val="00C75C80"/>
    <w:rsid w:val="00C75FDF"/>
    <w:rsid w:val="00C820B5"/>
    <w:rsid w:val="00C8526B"/>
    <w:rsid w:val="00C85EE8"/>
    <w:rsid w:val="00C862B5"/>
    <w:rsid w:val="00C87041"/>
    <w:rsid w:val="00C91D62"/>
    <w:rsid w:val="00C9276F"/>
    <w:rsid w:val="00C93118"/>
    <w:rsid w:val="00C93D0C"/>
    <w:rsid w:val="00C9537C"/>
    <w:rsid w:val="00C958B8"/>
    <w:rsid w:val="00C9641B"/>
    <w:rsid w:val="00C96962"/>
    <w:rsid w:val="00CA021D"/>
    <w:rsid w:val="00CA1F88"/>
    <w:rsid w:val="00CA2C01"/>
    <w:rsid w:val="00CA34FA"/>
    <w:rsid w:val="00CA5050"/>
    <w:rsid w:val="00CA6BBF"/>
    <w:rsid w:val="00CA72E3"/>
    <w:rsid w:val="00CA75F8"/>
    <w:rsid w:val="00CB05B2"/>
    <w:rsid w:val="00CB17B3"/>
    <w:rsid w:val="00CB27B6"/>
    <w:rsid w:val="00CB2B6B"/>
    <w:rsid w:val="00CB2BB9"/>
    <w:rsid w:val="00CB344D"/>
    <w:rsid w:val="00CB376B"/>
    <w:rsid w:val="00CB5715"/>
    <w:rsid w:val="00CB5C78"/>
    <w:rsid w:val="00CB7808"/>
    <w:rsid w:val="00CC098C"/>
    <w:rsid w:val="00CC29EA"/>
    <w:rsid w:val="00CC393E"/>
    <w:rsid w:val="00CC4D93"/>
    <w:rsid w:val="00CC5A77"/>
    <w:rsid w:val="00CC63F3"/>
    <w:rsid w:val="00CD06E6"/>
    <w:rsid w:val="00CD117C"/>
    <w:rsid w:val="00CD11EE"/>
    <w:rsid w:val="00CD1551"/>
    <w:rsid w:val="00CD1C00"/>
    <w:rsid w:val="00CD1D94"/>
    <w:rsid w:val="00CD242B"/>
    <w:rsid w:val="00CD3421"/>
    <w:rsid w:val="00CD3986"/>
    <w:rsid w:val="00CD45A4"/>
    <w:rsid w:val="00CD4815"/>
    <w:rsid w:val="00CD5474"/>
    <w:rsid w:val="00CE1445"/>
    <w:rsid w:val="00CE1674"/>
    <w:rsid w:val="00CE17AF"/>
    <w:rsid w:val="00CE1D62"/>
    <w:rsid w:val="00CE32B2"/>
    <w:rsid w:val="00CE40E9"/>
    <w:rsid w:val="00CF01FB"/>
    <w:rsid w:val="00CF02AE"/>
    <w:rsid w:val="00CF2729"/>
    <w:rsid w:val="00CF2913"/>
    <w:rsid w:val="00CF36CC"/>
    <w:rsid w:val="00CF538D"/>
    <w:rsid w:val="00CF5FBC"/>
    <w:rsid w:val="00CF654D"/>
    <w:rsid w:val="00CF6E45"/>
    <w:rsid w:val="00CF770E"/>
    <w:rsid w:val="00CF795A"/>
    <w:rsid w:val="00D0199F"/>
    <w:rsid w:val="00D041CE"/>
    <w:rsid w:val="00D05D5F"/>
    <w:rsid w:val="00D05F6D"/>
    <w:rsid w:val="00D0769B"/>
    <w:rsid w:val="00D1339E"/>
    <w:rsid w:val="00D136BD"/>
    <w:rsid w:val="00D15F1E"/>
    <w:rsid w:val="00D16EC7"/>
    <w:rsid w:val="00D2082B"/>
    <w:rsid w:val="00D20D61"/>
    <w:rsid w:val="00D22059"/>
    <w:rsid w:val="00D22B81"/>
    <w:rsid w:val="00D22DCC"/>
    <w:rsid w:val="00D23DD6"/>
    <w:rsid w:val="00D23F86"/>
    <w:rsid w:val="00D2675E"/>
    <w:rsid w:val="00D26A68"/>
    <w:rsid w:val="00D26DF2"/>
    <w:rsid w:val="00D27692"/>
    <w:rsid w:val="00D27852"/>
    <w:rsid w:val="00D2790D"/>
    <w:rsid w:val="00D27948"/>
    <w:rsid w:val="00D30735"/>
    <w:rsid w:val="00D30A20"/>
    <w:rsid w:val="00D33A86"/>
    <w:rsid w:val="00D33B2D"/>
    <w:rsid w:val="00D349B5"/>
    <w:rsid w:val="00D35727"/>
    <w:rsid w:val="00D35A05"/>
    <w:rsid w:val="00D35AD7"/>
    <w:rsid w:val="00D35C50"/>
    <w:rsid w:val="00D4014B"/>
    <w:rsid w:val="00D417C7"/>
    <w:rsid w:val="00D436D4"/>
    <w:rsid w:val="00D441C8"/>
    <w:rsid w:val="00D4487F"/>
    <w:rsid w:val="00D44EC5"/>
    <w:rsid w:val="00D4586C"/>
    <w:rsid w:val="00D45E27"/>
    <w:rsid w:val="00D46D47"/>
    <w:rsid w:val="00D509B4"/>
    <w:rsid w:val="00D52C96"/>
    <w:rsid w:val="00D53022"/>
    <w:rsid w:val="00D53A7E"/>
    <w:rsid w:val="00D55F1F"/>
    <w:rsid w:val="00D5676A"/>
    <w:rsid w:val="00D56A15"/>
    <w:rsid w:val="00D57960"/>
    <w:rsid w:val="00D60134"/>
    <w:rsid w:val="00D607E7"/>
    <w:rsid w:val="00D60B13"/>
    <w:rsid w:val="00D60BA7"/>
    <w:rsid w:val="00D60F03"/>
    <w:rsid w:val="00D62903"/>
    <w:rsid w:val="00D64AA5"/>
    <w:rsid w:val="00D64CAA"/>
    <w:rsid w:val="00D65242"/>
    <w:rsid w:val="00D65329"/>
    <w:rsid w:val="00D65BBF"/>
    <w:rsid w:val="00D65F07"/>
    <w:rsid w:val="00D66710"/>
    <w:rsid w:val="00D674C6"/>
    <w:rsid w:val="00D677D5"/>
    <w:rsid w:val="00D67E35"/>
    <w:rsid w:val="00D706B9"/>
    <w:rsid w:val="00D707F6"/>
    <w:rsid w:val="00D7091F"/>
    <w:rsid w:val="00D71F54"/>
    <w:rsid w:val="00D733B8"/>
    <w:rsid w:val="00D73903"/>
    <w:rsid w:val="00D74539"/>
    <w:rsid w:val="00D75243"/>
    <w:rsid w:val="00D753FE"/>
    <w:rsid w:val="00D76A5A"/>
    <w:rsid w:val="00D76DE1"/>
    <w:rsid w:val="00D801EC"/>
    <w:rsid w:val="00D823C0"/>
    <w:rsid w:val="00D8246F"/>
    <w:rsid w:val="00D83BE0"/>
    <w:rsid w:val="00D8499B"/>
    <w:rsid w:val="00D85F90"/>
    <w:rsid w:val="00D86B6B"/>
    <w:rsid w:val="00D8731A"/>
    <w:rsid w:val="00D87C3B"/>
    <w:rsid w:val="00D93363"/>
    <w:rsid w:val="00D944F0"/>
    <w:rsid w:val="00D9471B"/>
    <w:rsid w:val="00D9514B"/>
    <w:rsid w:val="00D95424"/>
    <w:rsid w:val="00D95A96"/>
    <w:rsid w:val="00D963BC"/>
    <w:rsid w:val="00D96657"/>
    <w:rsid w:val="00D96F7F"/>
    <w:rsid w:val="00DA063E"/>
    <w:rsid w:val="00DA10A0"/>
    <w:rsid w:val="00DA17A8"/>
    <w:rsid w:val="00DA3004"/>
    <w:rsid w:val="00DA353B"/>
    <w:rsid w:val="00DA405E"/>
    <w:rsid w:val="00DA478A"/>
    <w:rsid w:val="00DA589C"/>
    <w:rsid w:val="00DA796D"/>
    <w:rsid w:val="00DA7DA1"/>
    <w:rsid w:val="00DB2661"/>
    <w:rsid w:val="00DB273D"/>
    <w:rsid w:val="00DB4140"/>
    <w:rsid w:val="00DB4C15"/>
    <w:rsid w:val="00DB6ED1"/>
    <w:rsid w:val="00DB76AF"/>
    <w:rsid w:val="00DC006A"/>
    <w:rsid w:val="00DC1196"/>
    <w:rsid w:val="00DC122E"/>
    <w:rsid w:val="00DC1488"/>
    <w:rsid w:val="00DC1ED3"/>
    <w:rsid w:val="00DC3C8A"/>
    <w:rsid w:val="00DC3E80"/>
    <w:rsid w:val="00DC4E13"/>
    <w:rsid w:val="00DC504D"/>
    <w:rsid w:val="00DC6FD5"/>
    <w:rsid w:val="00DC7350"/>
    <w:rsid w:val="00DC78E3"/>
    <w:rsid w:val="00DD00F0"/>
    <w:rsid w:val="00DD1780"/>
    <w:rsid w:val="00DD2B14"/>
    <w:rsid w:val="00DD3B4C"/>
    <w:rsid w:val="00DD4A1D"/>
    <w:rsid w:val="00DD5120"/>
    <w:rsid w:val="00DD626F"/>
    <w:rsid w:val="00DD6766"/>
    <w:rsid w:val="00DD7183"/>
    <w:rsid w:val="00DD76D6"/>
    <w:rsid w:val="00DD7973"/>
    <w:rsid w:val="00DD7CF7"/>
    <w:rsid w:val="00DE0431"/>
    <w:rsid w:val="00DE121E"/>
    <w:rsid w:val="00DE124F"/>
    <w:rsid w:val="00DE21E0"/>
    <w:rsid w:val="00DE4164"/>
    <w:rsid w:val="00DE645C"/>
    <w:rsid w:val="00DE68F6"/>
    <w:rsid w:val="00DF013A"/>
    <w:rsid w:val="00DF2B98"/>
    <w:rsid w:val="00DF3A4A"/>
    <w:rsid w:val="00DF4C51"/>
    <w:rsid w:val="00DF50A2"/>
    <w:rsid w:val="00DF6B03"/>
    <w:rsid w:val="00E000FE"/>
    <w:rsid w:val="00E01F95"/>
    <w:rsid w:val="00E04877"/>
    <w:rsid w:val="00E069E1"/>
    <w:rsid w:val="00E10BE3"/>
    <w:rsid w:val="00E10CFB"/>
    <w:rsid w:val="00E1196F"/>
    <w:rsid w:val="00E11D53"/>
    <w:rsid w:val="00E13EFF"/>
    <w:rsid w:val="00E1453A"/>
    <w:rsid w:val="00E155A2"/>
    <w:rsid w:val="00E156F6"/>
    <w:rsid w:val="00E161FA"/>
    <w:rsid w:val="00E16943"/>
    <w:rsid w:val="00E17162"/>
    <w:rsid w:val="00E17EBF"/>
    <w:rsid w:val="00E215CE"/>
    <w:rsid w:val="00E22006"/>
    <w:rsid w:val="00E235C3"/>
    <w:rsid w:val="00E25C70"/>
    <w:rsid w:val="00E27FE9"/>
    <w:rsid w:val="00E30A74"/>
    <w:rsid w:val="00E31788"/>
    <w:rsid w:val="00E346F2"/>
    <w:rsid w:val="00E3504A"/>
    <w:rsid w:val="00E35493"/>
    <w:rsid w:val="00E3587E"/>
    <w:rsid w:val="00E37366"/>
    <w:rsid w:val="00E415E3"/>
    <w:rsid w:val="00E41917"/>
    <w:rsid w:val="00E43330"/>
    <w:rsid w:val="00E437BF"/>
    <w:rsid w:val="00E44554"/>
    <w:rsid w:val="00E453C5"/>
    <w:rsid w:val="00E46227"/>
    <w:rsid w:val="00E50C87"/>
    <w:rsid w:val="00E527D1"/>
    <w:rsid w:val="00E53D60"/>
    <w:rsid w:val="00E549BC"/>
    <w:rsid w:val="00E55249"/>
    <w:rsid w:val="00E55357"/>
    <w:rsid w:val="00E556E4"/>
    <w:rsid w:val="00E5649B"/>
    <w:rsid w:val="00E60880"/>
    <w:rsid w:val="00E61F7F"/>
    <w:rsid w:val="00E62318"/>
    <w:rsid w:val="00E63C2E"/>
    <w:rsid w:val="00E65505"/>
    <w:rsid w:val="00E7054D"/>
    <w:rsid w:val="00E70793"/>
    <w:rsid w:val="00E70B4B"/>
    <w:rsid w:val="00E71228"/>
    <w:rsid w:val="00E71A39"/>
    <w:rsid w:val="00E7230B"/>
    <w:rsid w:val="00E7354F"/>
    <w:rsid w:val="00E73C1E"/>
    <w:rsid w:val="00E743B9"/>
    <w:rsid w:val="00E74DCA"/>
    <w:rsid w:val="00E75007"/>
    <w:rsid w:val="00E75C3E"/>
    <w:rsid w:val="00E87477"/>
    <w:rsid w:val="00E933EF"/>
    <w:rsid w:val="00E93572"/>
    <w:rsid w:val="00E938DF"/>
    <w:rsid w:val="00E95034"/>
    <w:rsid w:val="00E9575F"/>
    <w:rsid w:val="00E9655C"/>
    <w:rsid w:val="00E9684B"/>
    <w:rsid w:val="00E97510"/>
    <w:rsid w:val="00EA02E1"/>
    <w:rsid w:val="00EA1827"/>
    <w:rsid w:val="00EA23E8"/>
    <w:rsid w:val="00EA2E41"/>
    <w:rsid w:val="00EA44A4"/>
    <w:rsid w:val="00EA4E9D"/>
    <w:rsid w:val="00EA7638"/>
    <w:rsid w:val="00EA7659"/>
    <w:rsid w:val="00EB0FB9"/>
    <w:rsid w:val="00EB1257"/>
    <w:rsid w:val="00EB17AF"/>
    <w:rsid w:val="00EB1ABF"/>
    <w:rsid w:val="00EB2589"/>
    <w:rsid w:val="00EB7829"/>
    <w:rsid w:val="00EC01EE"/>
    <w:rsid w:val="00EC0AA0"/>
    <w:rsid w:val="00EC2CA6"/>
    <w:rsid w:val="00EC3726"/>
    <w:rsid w:val="00EC43B6"/>
    <w:rsid w:val="00EC477C"/>
    <w:rsid w:val="00EC4868"/>
    <w:rsid w:val="00EC4CAE"/>
    <w:rsid w:val="00EC5467"/>
    <w:rsid w:val="00EC6655"/>
    <w:rsid w:val="00EC704E"/>
    <w:rsid w:val="00ED01E3"/>
    <w:rsid w:val="00ED1325"/>
    <w:rsid w:val="00ED1FD2"/>
    <w:rsid w:val="00ED4A5B"/>
    <w:rsid w:val="00ED5827"/>
    <w:rsid w:val="00ED60C2"/>
    <w:rsid w:val="00ED64E0"/>
    <w:rsid w:val="00ED6A56"/>
    <w:rsid w:val="00EE05B5"/>
    <w:rsid w:val="00EE311A"/>
    <w:rsid w:val="00EE6A45"/>
    <w:rsid w:val="00EE6AD3"/>
    <w:rsid w:val="00EE6E7D"/>
    <w:rsid w:val="00EE77BF"/>
    <w:rsid w:val="00EF05BA"/>
    <w:rsid w:val="00EF0A07"/>
    <w:rsid w:val="00EF2E11"/>
    <w:rsid w:val="00EF2FEC"/>
    <w:rsid w:val="00EF3458"/>
    <w:rsid w:val="00EF4978"/>
    <w:rsid w:val="00EF4DA1"/>
    <w:rsid w:val="00EF6FBE"/>
    <w:rsid w:val="00EF7373"/>
    <w:rsid w:val="00F02071"/>
    <w:rsid w:val="00F0358B"/>
    <w:rsid w:val="00F0470A"/>
    <w:rsid w:val="00F05799"/>
    <w:rsid w:val="00F06E64"/>
    <w:rsid w:val="00F07BBC"/>
    <w:rsid w:val="00F100B0"/>
    <w:rsid w:val="00F133FC"/>
    <w:rsid w:val="00F14396"/>
    <w:rsid w:val="00F146D8"/>
    <w:rsid w:val="00F14CF5"/>
    <w:rsid w:val="00F15E16"/>
    <w:rsid w:val="00F16B62"/>
    <w:rsid w:val="00F17F0E"/>
    <w:rsid w:val="00F21063"/>
    <w:rsid w:val="00F23EF4"/>
    <w:rsid w:val="00F253FB"/>
    <w:rsid w:val="00F25910"/>
    <w:rsid w:val="00F26F78"/>
    <w:rsid w:val="00F330A8"/>
    <w:rsid w:val="00F3385A"/>
    <w:rsid w:val="00F36AEA"/>
    <w:rsid w:val="00F3706C"/>
    <w:rsid w:val="00F40D4E"/>
    <w:rsid w:val="00F41096"/>
    <w:rsid w:val="00F429B8"/>
    <w:rsid w:val="00F435BB"/>
    <w:rsid w:val="00F450CF"/>
    <w:rsid w:val="00F45AA0"/>
    <w:rsid w:val="00F461E6"/>
    <w:rsid w:val="00F46310"/>
    <w:rsid w:val="00F52BFD"/>
    <w:rsid w:val="00F52E56"/>
    <w:rsid w:val="00F53131"/>
    <w:rsid w:val="00F53544"/>
    <w:rsid w:val="00F53594"/>
    <w:rsid w:val="00F5376B"/>
    <w:rsid w:val="00F537D2"/>
    <w:rsid w:val="00F53FE9"/>
    <w:rsid w:val="00F56721"/>
    <w:rsid w:val="00F578D9"/>
    <w:rsid w:val="00F6107A"/>
    <w:rsid w:val="00F61BA1"/>
    <w:rsid w:val="00F62DE6"/>
    <w:rsid w:val="00F66177"/>
    <w:rsid w:val="00F668B1"/>
    <w:rsid w:val="00F710DC"/>
    <w:rsid w:val="00F719A0"/>
    <w:rsid w:val="00F72A49"/>
    <w:rsid w:val="00F73719"/>
    <w:rsid w:val="00F73D03"/>
    <w:rsid w:val="00F746E4"/>
    <w:rsid w:val="00F74B5D"/>
    <w:rsid w:val="00F74F43"/>
    <w:rsid w:val="00F75191"/>
    <w:rsid w:val="00F751FD"/>
    <w:rsid w:val="00F757D0"/>
    <w:rsid w:val="00F761EC"/>
    <w:rsid w:val="00F764F2"/>
    <w:rsid w:val="00F77249"/>
    <w:rsid w:val="00F77E29"/>
    <w:rsid w:val="00F807B3"/>
    <w:rsid w:val="00F80DA2"/>
    <w:rsid w:val="00F81542"/>
    <w:rsid w:val="00F81C34"/>
    <w:rsid w:val="00F8260F"/>
    <w:rsid w:val="00F83F9F"/>
    <w:rsid w:val="00F85B86"/>
    <w:rsid w:val="00F86C05"/>
    <w:rsid w:val="00F8766A"/>
    <w:rsid w:val="00F90BDC"/>
    <w:rsid w:val="00F92ADF"/>
    <w:rsid w:val="00F92FC7"/>
    <w:rsid w:val="00F9506A"/>
    <w:rsid w:val="00F97D49"/>
    <w:rsid w:val="00FA18C4"/>
    <w:rsid w:val="00FA219C"/>
    <w:rsid w:val="00FA269E"/>
    <w:rsid w:val="00FA3737"/>
    <w:rsid w:val="00FA56C6"/>
    <w:rsid w:val="00FA5D75"/>
    <w:rsid w:val="00FA7898"/>
    <w:rsid w:val="00FB1622"/>
    <w:rsid w:val="00FB2636"/>
    <w:rsid w:val="00FB429D"/>
    <w:rsid w:val="00FB520A"/>
    <w:rsid w:val="00FB7619"/>
    <w:rsid w:val="00FC151C"/>
    <w:rsid w:val="00FC2AB6"/>
    <w:rsid w:val="00FC431F"/>
    <w:rsid w:val="00FC5F80"/>
    <w:rsid w:val="00FC69B5"/>
    <w:rsid w:val="00FD00C3"/>
    <w:rsid w:val="00FD086A"/>
    <w:rsid w:val="00FD0CC1"/>
    <w:rsid w:val="00FD149F"/>
    <w:rsid w:val="00FD27FA"/>
    <w:rsid w:val="00FD3438"/>
    <w:rsid w:val="00FD562C"/>
    <w:rsid w:val="00FD563E"/>
    <w:rsid w:val="00FD57E3"/>
    <w:rsid w:val="00FD5ADC"/>
    <w:rsid w:val="00FD6D3F"/>
    <w:rsid w:val="00FD7E9E"/>
    <w:rsid w:val="00FE31CF"/>
    <w:rsid w:val="00FE57C2"/>
    <w:rsid w:val="00FE664F"/>
    <w:rsid w:val="00FE6B16"/>
    <w:rsid w:val="00FE6FBA"/>
    <w:rsid w:val="00FE7031"/>
    <w:rsid w:val="00FE7234"/>
    <w:rsid w:val="00FF17C2"/>
    <w:rsid w:val="00FF47AF"/>
    <w:rsid w:val="00FF4F03"/>
    <w:rsid w:val="00FF60BE"/>
    <w:rsid w:val="00FF69E3"/>
    <w:rsid w:val="00FF6E08"/>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BC4C"/>
  <w15:chartTrackingRefBased/>
  <w15:docId w15:val="{9E3B15E3-8B50-4039-B012-5CF0B538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B7EE9"/>
    <w:pPr>
      <w:ind w:left="720"/>
      <w:contextualSpacing/>
    </w:pPr>
  </w:style>
  <w:style w:type="character" w:styleId="Hyperlink">
    <w:name w:val="Hyperlink"/>
    <w:basedOn w:val="DefaultParagraphFont"/>
    <w:uiPriority w:val="99"/>
    <w:unhideWhenUsed/>
    <w:rsid w:val="00084EEF"/>
    <w:rPr>
      <w:color w:val="0563C1" w:themeColor="hyperlink"/>
      <w:u w:val="single"/>
    </w:rPr>
  </w:style>
  <w:style w:type="character" w:styleId="UnresolvedMention">
    <w:name w:val="Unresolved Mention"/>
    <w:basedOn w:val="DefaultParagraphFont"/>
    <w:uiPriority w:val="99"/>
    <w:semiHidden/>
    <w:unhideWhenUsed/>
    <w:rsid w:val="00084EEF"/>
    <w:rPr>
      <w:color w:val="605E5C"/>
      <w:shd w:val="clear" w:color="auto" w:fill="E1DFDD"/>
    </w:rPr>
  </w:style>
  <w:style w:type="table" w:customStyle="1" w:styleId="TableGrid1">
    <w:name w:val="Table Grid1"/>
    <w:basedOn w:val="TableNormal"/>
    <w:next w:val="TableGrid"/>
    <w:uiPriority w:val="59"/>
    <w:rsid w:val="00EA4E9D"/>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A4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next w:val="TableGrid"/>
    <w:uiPriority w:val="59"/>
    <w:rsid w:val="00ED5827"/>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A5ED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16E8"/>
    <w:rPr>
      <w:sz w:val="16"/>
      <w:szCs w:val="16"/>
    </w:rPr>
  </w:style>
  <w:style w:type="paragraph" w:styleId="CommentText">
    <w:name w:val="annotation text"/>
    <w:basedOn w:val="Normal"/>
    <w:link w:val="CommentTextChar"/>
    <w:uiPriority w:val="99"/>
    <w:semiHidden/>
    <w:unhideWhenUsed/>
    <w:rsid w:val="00B316E8"/>
    <w:pPr>
      <w:spacing w:line="240" w:lineRule="auto"/>
    </w:pPr>
    <w:rPr>
      <w:sz w:val="20"/>
      <w:szCs w:val="20"/>
    </w:rPr>
  </w:style>
  <w:style w:type="character" w:customStyle="1" w:styleId="CommentTextChar">
    <w:name w:val="Comment Text Char"/>
    <w:basedOn w:val="DefaultParagraphFont"/>
    <w:link w:val="CommentText"/>
    <w:uiPriority w:val="99"/>
    <w:semiHidden/>
    <w:rsid w:val="00B316E8"/>
    <w:rPr>
      <w:sz w:val="20"/>
      <w:szCs w:val="20"/>
    </w:rPr>
  </w:style>
  <w:style w:type="paragraph" w:styleId="CommentSubject">
    <w:name w:val="annotation subject"/>
    <w:basedOn w:val="CommentText"/>
    <w:next w:val="CommentText"/>
    <w:link w:val="CommentSubjectChar"/>
    <w:uiPriority w:val="99"/>
    <w:semiHidden/>
    <w:unhideWhenUsed/>
    <w:rsid w:val="00B316E8"/>
    <w:rPr>
      <w:b/>
      <w:bCs/>
    </w:rPr>
  </w:style>
  <w:style w:type="character" w:customStyle="1" w:styleId="CommentSubjectChar">
    <w:name w:val="Comment Subject Char"/>
    <w:basedOn w:val="CommentTextChar"/>
    <w:link w:val="CommentSubject"/>
    <w:uiPriority w:val="99"/>
    <w:semiHidden/>
    <w:rsid w:val="00B316E8"/>
    <w:rPr>
      <w:b/>
      <w:bCs/>
      <w:sz w:val="20"/>
      <w:szCs w:val="20"/>
    </w:rPr>
  </w:style>
  <w:style w:type="paragraph" w:styleId="NormalWeb">
    <w:name w:val="Normal (Web)"/>
    <w:basedOn w:val="Normal"/>
    <w:uiPriority w:val="99"/>
    <w:unhideWhenUsed/>
    <w:rsid w:val="00991EE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991EE1"/>
    <w:rPr>
      <w:b/>
      <w:bCs/>
    </w:rPr>
  </w:style>
  <w:style w:type="table" w:customStyle="1" w:styleId="TableGrid3">
    <w:name w:val="Table Grid3"/>
    <w:basedOn w:val="TableNormal"/>
    <w:next w:val="TableGrid"/>
    <w:uiPriority w:val="59"/>
    <w:rsid w:val="00F73719"/>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7DCCE-5A65-45A0-9EC8-1F89EFBE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5873</Words>
  <Characters>36942</Characters>
  <Application>Microsoft Office Word</Application>
  <DocSecurity>0</DocSecurity>
  <Lines>786</Lines>
  <Paragraphs>407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Stanescu</dc:creator>
  <cp:keywords/>
  <dc:description/>
  <cp:lastModifiedBy>Camelia Diaconu, Uniunea Medicala Balcanica, Sectia Nat Rom 5091840</cp:lastModifiedBy>
  <cp:revision>2</cp:revision>
  <cp:lastPrinted>2023-04-24T09:53:00Z</cp:lastPrinted>
  <dcterms:created xsi:type="dcterms:W3CDTF">2026-07-13T17:30:00Z</dcterms:created>
  <dcterms:modified xsi:type="dcterms:W3CDTF">2026-07-13T17:30:00Z</dcterms:modified>
</cp:coreProperties>
</file>